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EFCB5" w14:textId="35E90190" w:rsidR="00FF673D" w:rsidRPr="005C35E9" w:rsidRDefault="00FF673D" w:rsidP="00FF673D">
      <w:pPr>
        <w:widowControl w:val="0"/>
        <w:tabs>
          <w:tab w:val="left" w:pos="8190"/>
        </w:tabs>
        <w:spacing w:after="0" w:line="240" w:lineRule="auto"/>
        <w:rPr>
          <w:rFonts w:eastAsia="MS Mincho" w:cstheme="minorHAnsi"/>
          <w:b/>
          <w:sz w:val="24"/>
          <w:szCs w:val="24"/>
          <w:highlight w:val="yellow"/>
        </w:rPr>
      </w:pPr>
      <w:bookmarkStart w:id="0" w:name="Title"/>
      <w:bookmarkStart w:id="1" w:name="DocumentFor"/>
      <w:bookmarkEnd w:id="0"/>
      <w:bookmarkEnd w:id="1"/>
      <w:r w:rsidRPr="005C35E9">
        <w:rPr>
          <w:rFonts w:eastAsia="MS Mincho" w:cstheme="minorHAnsi"/>
          <w:b/>
          <w:sz w:val="24"/>
          <w:szCs w:val="24"/>
          <w:highlight w:val="yellow"/>
        </w:rPr>
        <w:t>3GPP TSG-RAN WG4 Meeting #11</w:t>
      </w:r>
      <w:r w:rsidR="00D62C29" w:rsidRPr="005C35E9">
        <w:rPr>
          <w:rFonts w:eastAsia="MS Mincho" w:cstheme="minorHAnsi"/>
          <w:b/>
          <w:sz w:val="24"/>
          <w:szCs w:val="24"/>
          <w:highlight w:val="yellow"/>
        </w:rPr>
        <w:t>5</w:t>
      </w:r>
      <w:r w:rsidRPr="005C35E9">
        <w:rPr>
          <w:rFonts w:eastAsia="MS Mincho" w:cstheme="minorHAnsi"/>
          <w:b/>
          <w:sz w:val="24"/>
          <w:szCs w:val="24"/>
          <w:highlight w:val="yellow"/>
        </w:rPr>
        <w:tab/>
      </w:r>
      <w:r w:rsidR="00A662E6" w:rsidRPr="005C35E9">
        <w:rPr>
          <w:rFonts w:eastAsia="MS Mincho" w:cstheme="minorHAnsi"/>
          <w:b/>
          <w:sz w:val="24"/>
          <w:szCs w:val="24"/>
          <w:highlight w:val="yellow"/>
        </w:rPr>
        <w:t>R4</w:t>
      </w:r>
      <w:r w:rsidR="000807D3" w:rsidRPr="005C35E9">
        <w:rPr>
          <w:rFonts w:eastAsia="MS Mincho" w:cstheme="minorHAnsi"/>
          <w:b/>
          <w:sz w:val="24"/>
          <w:szCs w:val="24"/>
          <w:highlight w:val="yellow"/>
        </w:rPr>
        <w:t>-</w:t>
      </w:r>
      <w:r w:rsidR="00E53E62" w:rsidRPr="005C35E9">
        <w:rPr>
          <w:rFonts w:eastAsia="MS Mincho" w:cstheme="minorHAnsi"/>
          <w:b/>
          <w:bCs/>
          <w:sz w:val="24"/>
          <w:szCs w:val="24"/>
          <w:highlight w:val="yellow"/>
        </w:rPr>
        <w:t>2505954</w:t>
      </w:r>
    </w:p>
    <w:p w14:paraId="31E346EE" w14:textId="09508014" w:rsidR="00024141" w:rsidRPr="005C35E9" w:rsidRDefault="00D62C29" w:rsidP="00FB277C">
      <w:pPr>
        <w:widowControl w:val="0"/>
        <w:tabs>
          <w:tab w:val="left" w:pos="8190"/>
        </w:tabs>
        <w:spacing w:after="0" w:line="240" w:lineRule="auto"/>
        <w:rPr>
          <w:rFonts w:eastAsia="MS Mincho" w:cstheme="minorHAnsi"/>
          <w:b/>
          <w:sz w:val="24"/>
          <w:szCs w:val="24"/>
          <w:highlight w:val="yellow"/>
        </w:rPr>
      </w:pPr>
      <w:r w:rsidRPr="005C35E9">
        <w:rPr>
          <w:rFonts w:eastAsia="MS Mincho" w:cstheme="minorHAnsi"/>
          <w:b/>
          <w:bCs/>
          <w:sz w:val="24"/>
          <w:szCs w:val="24"/>
          <w:highlight w:val="yellow"/>
          <w:lang w:val="en-GB"/>
        </w:rPr>
        <w:t>Malta</w:t>
      </w:r>
      <w:r w:rsidR="00744CB4" w:rsidRPr="005C35E9">
        <w:rPr>
          <w:rFonts w:eastAsia="MS Mincho" w:cstheme="minorHAnsi"/>
          <w:b/>
          <w:bCs/>
          <w:sz w:val="24"/>
          <w:szCs w:val="24"/>
          <w:highlight w:val="yellow"/>
          <w:lang w:val="en-GB"/>
        </w:rPr>
        <w:t xml:space="preserve">, </w:t>
      </w:r>
      <w:r w:rsidR="00A85C5A" w:rsidRPr="005C35E9">
        <w:rPr>
          <w:rFonts w:eastAsia="MS Mincho" w:cstheme="minorHAnsi"/>
          <w:b/>
          <w:bCs/>
          <w:sz w:val="24"/>
          <w:szCs w:val="24"/>
          <w:highlight w:val="yellow"/>
          <w:lang w:val="en-GB"/>
        </w:rPr>
        <w:t>19-23 May</w:t>
      </w:r>
      <w:r w:rsidR="00744CB4" w:rsidRPr="005C35E9">
        <w:rPr>
          <w:rFonts w:eastAsia="MS Mincho" w:cstheme="minorHAnsi"/>
          <w:b/>
          <w:bCs/>
          <w:sz w:val="24"/>
          <w:szCs w:val="24"/>
          <w:highlight w:val="yellow"/>
          <w:lang w:val="en-GB"/>
        </w:rPr>
        <w:t>, 2025</w:t>
      </w:r>
    </w:p>
    <w:p w14:paraId="3A0206D0" w14:textId="77777777" w:rsidR="00D3652A" w:rsidRPr="005C35E9" w:rsidRDefault="00D3652A" w:rsidP="00FB277C">
      <w:pPr>
        <w:widowControl w:val="0"/>
        <w:tabs>
          <w:tab w:val="left" w:pos="8190"/>
        </w:tabs>
        <w:spacing w:after="0" w:line="240" w:lineRule="auto"/>
        <w:rPr>
          <w:rFonts w:eastAsia="Times New Roman" w:cstheme="minorHAnsi"/>
          <w:noProof/>
          <w:sz w:val="24"/>
          <w:szCs w:val="20"/>
          <w:highlight w:val="yellow"/>
        </w:rPr>
      </w:pPr>
    </w:p>
    <w:p w14:paraId="198D845E" w14:textId="77777777" w:rsidR="00FB277C" w:rsidRPr="005C35E9" w:rsidRDefault="00FB277C" w:rsidP="00FB277C">
      <w:pPr>
        <w:tabs>
          <w:tab w:val="left" w:pos="1985"/>
        </w:tabs>
        <w:spacing w:line="256" w:lineRule="auto"/>
        <w:rPr>
          <w:rFonts w:eastAsia="Times New Roman" w:cstheme="minorHAnsi"/>
          <w:sz w:val="24"/>
          <w:highlight w:val="yellow"/>
        </w:rPr>
      </w:pPr>
      <w:r w:rsidRPr="005C35E9">
        <w:rPr>
          <w:rFonts w:eastAsia="Times New Roman" w:cstheme="minorHAnsi"/>
          <w:b/>
          <w:sz w:val="24"/>
          <w:highlight w:val="yellow"/>
        </w:rPr>
        <w:t xml:space="preserve">Source: </w:t>
      </w:r>
      <w:r w:rsidRPr="005C35E9">
        <w:rPr>
          <w:rFonts w:eastAsia="Times New Roman" w:cstheme="minorHAnsi"/>
          <w:b/>
          <w:sz w:val="24"/>
          <w:highlight w:val="yellow"/>
        </w:rPr>
        <w:tab/>
      </w:r>
      <w:r w:rsidRPr="005C35E9">
        <w:rPr>
          <w:rFonts w:eastAsia="Times New Roman" w:cstheme="minorHAnsi"/>
          <w:sz w:val="24"/>
          <w:highlight w:val="yellow"/>
        </w:rPr>
        <w:t>Qualcomm Incorporated</w:t>
      </w:r>
    </w:p>
    <w:p w14:paraId="651BD97F" w14:textId="05155B7F" w:rsidR="00FB277C" w:rsidRPr="005C35E9" w:rsidRDefault="00FB277C" w:rsidP="00B40431">
      <w:pPr>
        <w:tabs>
          <w:tab w:val="left" w:pos="1985"/>
        </w:tabs>
        <w:spacing w:line="256" w:lineRule="auto"/>
        <w:ind w:left="1980" w:hanging="1980"/>
        <w:rPr>
          <w:rFonts w:eastAsia="Times New Roman" w:cstheme="minorHAnsi"/>
          <w:sz w:val="24"/>
          <w:highlight w:val="yellow"/>
        </w:rPr>
      </w:pPr>
      <w:r w:rsidRPr="005C35E9">
        <w:rPr>
          <w:rFonts w:eastAsia="Times New Roman" w:cstheme="minorHAnsi"/>
          <w:b/>
          <w:sz w:val="24"/>
          <w:highlight w:val="yellow"/>
        </w:rPr>
        <w:t>Title:</w:t>
      </w:r>
      <w:r w:rsidRPr="005C35E9">
        <w:rPr>
          <w:rFonts w:eastAsia="Times New Roman" w:cstheme="minorHAnsi"/>
          <w:sz w:val="24"/>
          <w:highlight w:val="yellow"/>
        </w:rPr>
        <w:t xml:space="preserve"> </w:t>
      </w:r>
      <w:r w:rsidRPr="005C35E9">
        <w:rPr>
          <w:rFonts w:eastAsia="Times New Roman" w:cstheme="minorHAnsi"/>
          <w:sz w:val="24"/>
          <w:highlight w:val="yellow"/>
        </w:rPr>
        <w:tab/>
      </w:r>
      <w:r w:rsidR="00B40431" w:rsidRPr="005C35E9">
        <w:rPr>
          <w:rFonts w:eastAsia="Times New Roman" w:cstheme="minorHAnsi"/>
          <w:sz w:val="24"/>
          <w:highlight w:val="yellow"/>
        </w:rPr>
        <w:t xml:space="preserve">Views on SCM for </w:t>
      </w:r>
      <w:r w:rsidR="009815D0" w:rsidRPr="005C35E9">
        <w:rPr>
          <w:rFonts w:eastAsia="Times New Roman" w:cstheme="minorHAnsi"/>
          <w:sz w:val="24"/>
          <w:highlight w:val="yellow"/>
        </w:rPr>
        <w:t>UE D</w:t>
      </w:r>
      <w:r w:rsidR="00B40431" w:rsidRPr="005C35E9">
        <w:rPr>
          <w:rFonts w:eastAsia="Times New Roman" w:cstheme="minorHAnsi"/>
          <w:sz w:val="24"/>
          <w:highlight w:val="yellow"/>
        </w:rPr>
        <w:t>emod</w:t>
      </w:r>
      <w:r w:rsidR="009815D0" w:rsidRPr="005C35E9">
        <w:rPr>
          <w:rFonts w:eastAsia="Times New Roman" w:cstheme="minorHAnsi"/>
          <w:sz w:val="24"/>
          <w:highlight w:val="yellow"/>
        </w:rPr>
        <w:t>ulation</w:t>
      </w:r>
    </w:p>
    <w:p w14:paraId="7873C4AF" w14:textId="20BF7827" w:rsidR="00FB277C" w:rsidRPr="005C35E9" w:rsidRDefault="00FB277C" w:rsidP="00FB277C">
      <w:pPr>
        <w:tabs>
          <w:tab w:val="left" w:pos="1985"/>
        </w:tabs>
        <w:spacing w:line="256" w:lineRule="auto"/>
        <w:ind w:left="1980" w:hanging="1980"/>
        <w:rPr>
          <w:rFonts w:eastAsia="Times New Roman" w:cstheme="minorHAnsi"/>
          <w:sz w:val="24"/>
          <w:szCs w:val="24"/>
          <w:highlight w:val="yellow"/>
        </w:rPr>
      </w:pPr>
      <w:r w:rsidRPr="005C35E9">
        <w:rPr>
          <w:rFonts w:eastAsia="Times New Roman" w:cstheme="minorHAnsi"/>
          <w:b/>
          <w:sz w:val="24"/>
          <w:highlight w:val="yellow"/>
        </w:rPr>
        <w:t>Agenda item:</w:t>
      </w:r>
      <w:r w:rsidRPr="005C35E9">
        <w:rPr>
          <w:rFonts w:eastAsia="Times New Roman" w:cstheme="minorHAnsi"/>
          <w:sz w:val="24"/>
          <w:highlight w:val="yellow"/>
        </w:rPr>
        <w:tab/>
      </w:r>
      <w:r w:rsidR="006639C3" w:rsidRPr="005C35E9">
        <w:rPr>
          <w:rFonts w:eastAsia="Times New Roman" w:cstheme="minorHAnsi"/>
          <w:sz w:val="24"/>
          <w:highlight w:val="yellow"/>
        </w:rPr>
        <w:t xml:space="preserve"> </w:t>
      </w:r>
      <w:r w:rsidR="002C308B" w:rsidRPr="005C35E9">
        <w:rPr>
          <w:rFonts w:eastAsia="Times New Roman" w:cstheme="minorHAnsi"/>
          <w:sz w:val="24"/>
          <w:highlight w:val="yellow"/>
        </w:rPr>
        <w:t>7.16.</w:t>
      </w:r>
      <w:r w:rsidR="00E53E62" w:rsidRPr="005C35E9">
        <w:rPr>
          <w:rFonts w:eastAsia="Times New Roman" w:cstheme="minorHAnsi"/>
          <w:sz w:val="24"/>
          <w:highlight w:val="yellow"/>
        </w:rPr>
        <w:t>3</w:t>
      </w:r>
    </w:p>
    <w:p w14:paraId="0C4D6ED4" w14:textId="6C7512D0" w:rsidR="00FB277C" w:rsidRPr="00540558" w:rsidRDefault="00FB277C" w:rsidP="00FB277C">
      <w:pPr>
        <w:tabs>
          <w:tab w:val="left" w:pos="1985"/>
        </w:tabs>
        <w:spacing w:line="256" w:lineRule="auto"/>
        <w:rPr>
          <w:rFonts w:eastAsia="Times New Roman" w:cstheme="minorHAnsi"/>
          <w:sz w:val="24"/>
          <w:szCs w:val="24"/>
        </w:rPr>
      </w:pPr>
      <w:r w:rsidRPr="005C35E9">
        <w:rPr>
          <w:rFonts w:eastAsia="Times New Roman" w:cstheme="minorHAnsi"/>
          <w:b/>
          <w:sz w:val="24"/>
          <w:highlight w:val="yellow"/>
        </w:rPr>
        <w:t>Document for:</w:t>
      </w:r>
      <w:r w:rsidRPr="005C35E9">
        <w:rPr>
          <w:rFonts w:eastAsia="Times New Roman" w:cstheme="minorHAnsi"/>
          <w:sz w:val="24"/>
          <w:highlight w:val="yellow"/>
        </w:rPr>
        <w:tab/>
      </w:r>
      <w:r w:rsidR="004F6334" w:rsidRPr="005C35E9">
        <w:rPr>
          <w:rFonts w:eastAsia="Times New Roman" w:cstheme="minorHAnsi"/>
          <w:sz w:val="24"/>
          <w:highlight w:val="yellow"/>
        </w:rPr>
        <w:t>Agreement</w:t>
      </w:r>
    </w:p>
    <w:p w14:paraId="11A17B3B" w14:textId="6767E381" w:rsidR="00FB277C" w:rsidRPr="00540558" w:rsidRDefault="00FB277C" w:rsidP="00FB277C">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540558">
        <w:rPr>
          <w:rFonts w:eastAsia="Times New Roman" w:cstheme="minorHAnsi"/>
          <w:sz w:val="36"/>
          <w:szCs w:val="20"/>
        </w:rPr>
        <w:t>Introduction</w:t>
      </w:r>
      <w:r w:rsidRPr="00540558">
        <w:rPr>
          <w:rFonts w:eastAsia="Times New Roman" w:cstheme="minorHAnsi"/>
          <w:b/>
          <w:bCs/>
        </w:rPr>
        <w:fldChar w:fldCharType="begin"/>
      </w:r>
      <w:r w:rsidRPr="00540558">
        <w:rPr>
          <w:rFonts w:eastAsia="Times New Roman" w:cstheme="minorHAnsi"/>
          <w:b/>
          <w:bCs/>
        </w:rPr>
        <w:instrText xml:space="preserve"> SEQ Obs \h \r0 </w:instrText>
      </w:r>
      <w:r w:rsidRPr="00540558">
        <w:rPr>
          <w:rFonts w:eastAsia="Times New Roman" w:cstheme="minorHAnsi"/>
          <w:b/>
          <w:bCs/>
        </w:rPr>
        <w:fldChar w:fldCharType="end"/>
      </w:r>
      <w:r w:rsidRPr="00540558">
        <w:rPr>
          <w:rFonts w:eastAsia="Times New Roman" w:cstheme="minorHAnsi"/>
          <w:b/>
          <w:bCs/>
        </w:rPr>
        <w:fldChar w:fldCharType="begin"/>
      </w:r>
      <w:r w:rsidRPr="00540558">
        <w:rPr>
          <w:rFonts w:eastAsia="Times New Roman" w:cstheme="minorHAnsi"/>
          <w:b/>
          <w:bCs/>
        </w:rPr>
        <w:instrText xml:space="preserve"> SEQ Props \h \r0</w:instrText>
      </w:r>
      <w:r w:rsidRPr="00540558">
        <w:rPr>
          <w:rFonts w:eastAsia="Times New Roman" w:cstheme="minorHAnsi"/>
          <w:b/>
          <w:bCs/>
        </w:rPr>
        <w:fldChar w:fldCharType="end"/>
      </w:r>
    </w:p>
    <w:p w14:paraId="379ECE80" w14:textId="6BB41CD8" w:rsidR="006D3BE1" w:rsidRDefault="00AC785E" w:rsidP="006D3BE1">
      <w:pPr>
        <w:spacing w:line="256" w:lineRule="auto"/>
        <w:rPr>
          <w:lang w:eastAsia="zh-CN"/>
        </w:rPr>
      </w:pPr>
      <w:r w:rsidRPr="00540558">
        <w:rPr>
          <w:rFonts w:eastAsia="Times New Roman" w:cstheme="minorHAnsi"/>
        </w:rPr>
        <w:t xml:space="preserve">In </w:t>
      </w:r>
      <w:r w:rsidR="00801A7E">
        <w:rPr>
          <w:rFonts w:eastAsia="Times New Roman" w:cstheme="minorHAnsi"/>
        </w:rPr>
        <w:t>the previous RAN4 Meeting #11</w:t>
      </w:r>
      <w:r w:rsidR="003E63ED">
        <w:rPr>
          <w:rFonts w:eastAsia="Times New Roman" w:cstheme="minorHAnsi"/>
        </w:rPr>
        <w:t>4</w:t>
      </w:r>
      <w:r w:rsidR="00DD062D">
        <w:rPr>
          <w:rFonts w:eastAsia="Times New Roman" w:cstheme="minorHAnsi"/>
        </w:rPr>
        <w:t>-bis</w:t>
      </w:r>
      <w:r w:rsidR="00801A7E">
        <w:rPr>
          <w:rFonts w:eastAsia="Times New Roman" w:cstheme="minorHAnsi"/>
        </w:rPr>
        <w:t xml:space="preserve">, </w:t>
      </w:r>
      <w:r w:rsidR="0026753C">
        <w:rPr>
          <w:rFonts w:eastAsia="Times New Roman" w:cstheme="minorHAnsi"/>
        </w:rPr>
        <w:t xml:space="preserve">we contributed to the SCM Study Item sharing </w:t>
      </w:r>
      <w:r w:rsidRPr="00540558">
        <w:rPr>
          <w:rFonts w:eastAsia="Times New Roman" w:cstheme="minorHAnsi"/>
        </w:rPr>
        <w:t>consideration</w:t>
      </w:r>
      <w:r w:rsidR="00CF6C9C" w:rsidRPr="00540558">
        <w:rPr>
          <w:rFonts w:eastAsia="Times New Roman" w:cstheme="minorHAnsi"/>
        </w:rPr>
        <w:t xml:space="preserve">s </w:t>
      </w:r>
      <w:r w:rsidR="00271C08">
        <w:rPr>
          <w:rFonts w:eastAsia="Times New Roman" w:cstheme="minorHAnsi"/>
        </w:rPr>
        <w:t xml:space="preserve">on the Study Item </w:t>
      </w:r>
      <w:r w:rsidR="00F125BE">
        <w:rPr>
          <w:rFonts w:eastAsia="Times New Roman" w:cstheme="minorHAnsi"/>
        </w:rPr>
        <w:t>on the use</w:t>
      </w:r>
      <w:r w:rsidR="00F125BE" w:rsidRPr="00F125BE">
        <w:rPr>
          <w:lang w:eastAsia="zh-CN"/>
        </w:rPr>
        <w:t xml:space="preserve"> </w:t>
      </w:r>
      <w:r w:rsidR="00F125BE">
        <w:rPr>
          <w:lang w:eastAsia="zh-CN"/>
        </w:rPr>
        <w:t>s</w:t>
      </w:r>
      <w:r w:rsidR="00F125BE" w:rsidRPr="00E823B3">
        <w:rPr>
          <w:lang w:eastAsia="zh-CN"/>
        </w:rPr>
        <w:t>patial channel model for demodulation performance requirements</w:t>
      </w:r>
      <w:r w:rsidR="00F125BE">
        <w:rPr>
          <w:lang w:eastAsia="zh-CN"/>
        </w:rPr>
        <w:t xml:space="preserve">. </w:t>
      </w:r>
    </w:p>
    <w:p w14:paraId="6E4EFE46" w14:textId="1A7C3D94" w:rsidR="00E57529" w:rsidRDefault="0026753C" w:rsidP="006D3BE1">
      <w:pPr>
        <w:spacing w:line="256" w:lineRule="auto"/>
        <w:rPr>
          <w:lang w:eastAsia="zh-CN"/>
        </w:rPr>
      </w:pPr>
      <w:r>
        <w:rPr>
          <w:lang w:eastAsia="zh-CN"/>
        </w:rPr>
        <w:t xml:space="preserve">According to the outcome of the discussion </w:t>
      </w:r>
      <w:r w:rsidR="00CC080C">
        <w:rPr>
          <w:lang w:eastAsia="zh-CN"/>
        </w:rPr>
        <w:t>during the meetin</w:t>
      </w:r>
      <w:r w:rsidR="00301CA8">
        <w:rPr>
          <w:lang w:eastAsia="zh-CN"/>
        </w:rPr>
        <w:t>g</w:t>
      </w:r>
      <w:r w:rsidR="00CC080C">
        <w:rPr>
          <w:lang w:eastAsia="zh-CN"/>
        </w:rPr>
        <w:t xml:space="preserve"> and based on the </w:t>
      </w:r>
      <w:r w:rsidR="00301CA8">
        <w:rPr>
          <w:lang w:eastAsia="zh-CN"/>
        </w:rPr>
        <w:t xml:space="preserve">approved </w:t>
      </w:r>
      <w:r w:rsidR="00CC080C">
        <w:rPr>
          <w:lang w:eastAsia="zh-CN"/>
        </w:rPr>
        <w:t>Way Forward</w:t>
      </w:r>
      <w:r w:rsidR="007333AD">
        <w:rPr>
          <w:lang w:eastAsia="zh-CN"/>
        </w:rPr>
        <w:t xml:space="preserve"> [2]</w:t>
      </w:r>
      <w:r w:rsidR="00CC080C">
        <w:rPr>
          <w:lang w:eastAsia="zh-CN"/>
        </w:rPr>
        <w:t xml:space="preserve">, we provide in this contribution further </w:t>
      </w:r>
      <w:r w:rsidR="00E57529">
        <w:rPr>
          <w:lang w:eastAsia="zh-CN"/>
        </w:rPr>
        <w:t xml:space="preserve">observations </w:t>
      </w:r>
      <w:r w:rsidR="00301CA8">
        <w:rPr>
          <w:lang w:eastAsia="zh-CN"/>
        </w:rPr>
        <w:t xml:space="preserve">as part of </w:t>
      </w:r>
      <w:r w:rsidR="00E57529">
        <w:rPr>
          <w:lang w:eastAsia="zh-CN"/>
        </w:rPr>
        <w:t xml:space="preserve">the ongoing study. </w:t>
      </w:r>
    </w:p>
    <w:p w14:paraId="5357500D" w14:textId="63E6983E" w:rsidR="002B2175" w:rsidRDefault="002B2175" w:rsidP="0034596D">
      <w:pPr>
        <w:pStyle w:val="Heading1"/>
      </w:pPr>
      <w:bookmarkStart w:id="2" w:name="OLE_LINK21"/>
      <w:bookmarkStart w:id="3" w:name="OLE_LINK6"/>
      <w:r>
        <w:t xml:space="preserve">Views on </w:t>
      </w:r>
      <w:r w:rsidR="0043443A">
        <w:t xml:space="preserve">CDL modeling </w:t>
      </w:r>
    </w:p>
    <w:p w14:paraId="3201BAE9" w14:textId="56B5779E" w:rsidR="00CE0DB9" w:rsidRDefault="00CE0DB9" w:rsidP="002B2175">
      <w:pPr>
        <w:pStyle w:val="Heading2"/>
      </w:pPr>
      <w:r>
        <w:t>A</w:t>
      </w:r>
      <w:r w:rsidR="008D5970">
        <w:t>ngular Scaling approach</w:t>
      </w:r>
    </w:p>
    <w:p w14:paraId="12F9136F" w14:textId="77777777" w:rsidR="007B27EE" w:rsidRDefault="0043443A" w:rsidP="008D5970">
      <w:r>
        <w:t xml:space="preserve">In previous RAN4 meetings, </w:t>
      </w:r>
      <w:r w:rsidR="001D4E98">
        <w:t xml:space="preserve">including the last </w:t>
      </w:r>
      <w:r>
        <w:t xml:space="preserve">#114-bis, </w:t>
      </w:r>
      <w:r w:rsidR="007B2981">
        <w:t xml:space="preserve">the interpretation of the angular scaling procedure has been </w:t>
      </w:r>
      <w:r w:rsidR="001D4E98">
        <w:t xml:space="preserve">subject of </w:t>
      </w:r>
      <w:r w:rsidR="00004721">
        <w:t>multiple</w:t>
      </w:r>
      <w:r w:rsidR="001D4E98">
        <w:t xml:space="preserve"> discussion</w:t>
      </w:r>
      <w:r w:rsidR="00004721">
        <w:t xml:space="preserve">s, during and </w:t>
      </w:r>
      <w:r w:rsidR="00BA6C57">
        <w:t>in between meetings</w:t>
      </w:r>
      <w:r w:rsidR="007B27EE">
        <w:t>.</w:t>
      </w:r>
    </w:p>
    <w:p w14:paraId="6AFF20B1" w14:textId="6FBDAB46" w:rsidR="004C63B2" w:rsidRDefault="007B27EE" w:rsidP="008D5970">
      <w:r>
        <w:t xml:space="preserve">The discussions </w:t>
      </w:r>
      <w:r w:rsidR="003610A3">
        <w:t xml:space="preserve">regarded </w:t>
      </w:r>
      <w:r w:rsidR="004C63B2">
        <w:t xml:space="preserve">for example </w:t>
      </w:r>
      <w:r w:rsidR="00BA6C57">
        <w:t xml:space="preserve">whether to implement the scaling </w:t>
      </w:r>
      <w:r w:rsidR="001D4E98">
        <w:t xml:space="preserve">per-ray </w:t>
      </w:r>
      <w:r w:rsidR="00BA6C57">
        <w:t xml:space="preserve">or per cluster, how to apply wrapping, </w:t>
      </w:r>
      <w:r w:rsidR="003610A3">
        <w:t xml:space="preserve">and </w:t>
      </w:r>
      <w:r w:rsidR="004C63B2">
        <w:t xml:space="preserve">how to interprete </w:t>
      </w:r>
      <w:r w:rsidR="003610A3">
        <w:t>the details of the formulation</w:t>
      </w:r>
      <w:r w:rsidR="00FD3F0E">
        <w:t xml:space="preserve"> currently included in </w:t>
      </w:r>
      <w:r w:rsidR="004C63B2">
        <w:t xml:space="preserve">3GPP TR </w:t>
      </w:r>
      <w:r w:rsidR="00FD3F0E">
        <w:t>38.901</w:t>
      </w:r>
      <w:r w:rsidR="004C63B2">
        <w:t xml:space="preserve">, </w:t>
      </w:r>
      <w:r w:rsidR="00041A59">
        <w:t xml:space="preserve">which </w:t>
      </w:r>
      <w:r w:rsidR="004C63B2">
        <w:t xml:space="preserve">can be </w:t>
      </w:r>
      <w:r w:rsidR="00041A59">
        <w:t>open to different interpretation</w:t>
      </w:r>
      <w:r w:rsidR="004C63B2">
        <w:t>s</w:t>
      </w:r>
      <w:r w:rsidR="00BA6C57">
        <w:t>.</w:t>
      </w:r>
      <w:r w:rsidR="003610A3">
        <w:t xml:space="preserve"> </w:t>
      </w:r>
    </w:p>
    <w:p w14:paraId="7CCEA40E" w14:textId="2E441683" w:rsidR="00BA6C57" w:rsidRDefault="003610A3" w:rsidP="008D5970">
      <w:r>
        <w:t>I</w:t>
      </w:r>
      <w:r w:rsidR="00041A59">
        <w:t>n the meanwhile i</w:t>
      </w:r>
      <w:r w:rsidR="00BA6C57">
        <w:t xml:space="preserve">t is our understanding that RAN1 is working on </w:t>
      </w:r>
      <w:r w:rsidR="00746653">
        <w:t xml:space="preserve">a </w:t>
      </w:r>
      <w:r w:rsidR="00041A59">
        <w:t xml:space="preserve">reformulation </w:t>
      </w:r>
      <w:r w:rsidR="00746653">
        <w:t xml:space="preserve">of the angular scaling procedure to be implemented in a new release of </w:t>
      </w:r>
      <w:r w:rsidR="004C63B2">
        <w:t xml:space="preserve">3GPP TR </w:t>
      </w:r>
      <w:r w:rsidR="00746653">
        <w:t xml:space="preserve">38.901, which will clarify the application of this procedure, including proper application of wrapping. </w:t>
      </w:r>
    </w:p>
    <w:p w14:paraId="65DB9271" w14:textId="77777777" w:rsidR="00614941" w:rsidRDefault="00746653" w:rsidP="008D5970">
      <w:r>
        <w:t xml:space="preserve">To that end, we believe that it would be </w:t>
      </w:r>
      <w:r w:rsidR="00697C8F">
        <w:t xml:space="preserve">the best course of action for RAN4 </w:t>
      </w:r>
      <w:r w:rsidR="00041A59">
        <w:t xml:space="preserve">in the scope of the current Work Item to proceed </w:t>
      </w:r>
      <w:r w:rsidR="00396D64">
        <w:t>with</w:t>
      </w:r>
      <w:r w:rsidR="00041A59">
        <w:t xml:space="preserve"> the alignment</w:t>
      </w:r>
      <w:r w:rsidR="00396D64">
        <w:t xml:space="preserve"> </w:t>
      </w:r>
      <w:r w:rsidR="005D4221">
        <w:t xml:space="preserve">and comparison </w:t>
      </w:r>
      <w:r w:rsidR="00396D64">
        <w:t>efforts based on the agreements reached so far</w:t>
      </w:r>
      <w:r w:rsidR="005D4221">
        <w:t xml:space="preserve"> on the CDL profile tables. </w:t>
      </w:r>
    </w:p>
    <w:p w14:paraId="66753D3E" w14:textId="50233962" w:rsidR="00614941" w:rsidRPr="00614941" w:rsidRDefault="00614941" w:rsidP="008D5970">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E2C40">
        <w:rPr>
          <w:rFonts w:eastAsia="Times New Roman" w:cstheme="minorHAnsi"/>
          <w:b/>
          <w:bCs/>
          <w:noProof/>
        </w:rPr>
        <w:t>1</w:t>
      </w:r>
      <w:r w:rsidRPr="00B947C4">
        <w:rPr>
          <w:rFonts w:eastAsia="Times New Roman" w:cstheme="minorHAnsi"/>
          <w:b/>
          <w:bCs/>
        </w:rPr>
        <w:fldChar w:fldCharType="end"/>
      </w:r>
      <w:r w:rsidRPr="00B947C4">
        <w:rPr>
          <w:rFonts w:eastAsia="Times New Roman" w:cstheme="minorHAnsi"/>
          <w:b/>
          <w:bCs/>
        </w:rPr>
        <w:t xml:space="preserve">: RAN4 to </w:t>
      </w:r>
      <w:r>
        <w:rPr>
          <w:rFonts w:eastAsia="Times New Roman" w:cstheme="minorHAnsi"/>
          <w:b/>
          <w:bCs/>
        </w:rPr>
        <w:t>continue the work</w:t>
      </w:r>
      <w:r>
        <w:rPr>
          <w:rFonts w:eastAsia="Times New Roman" w:cstheme="minorHAnsi"/>
          <w:b/>
          <w:bCs/>
        </w:rPr>
        <w:t xml:space="preserve"> </w:t>
      </w:r>
      <w:r>
        <w:rPr>
          <w:rFonts w:eastAsia="Times New Roman" w:cstheme="minorHAnsi"/>
          <w:b/>
          <w:bCs/>
        </w:rPr>
        <w:t xml:space="preserve">in this SI using the tables included in </w:t>
      </w:r>
      <w:r w:rsidR="006E2C40">
        <w:rPr>
          <w:rFonts w:eastAsia="Times New Roman" w:cstheme="minorHAnsi"/>
          <w:b/>
          <w:bCs/>
        </w:rPr>
        <w:t>Annex A in this</w:t>
      </w:r>
      <w:r>
        <w:rPr>
          <w:rFonts w:eastAsia="Times New Roman" w:cstheme="minorHAnsi"/>
          <w:b/>
          <w:bCs/>
        </w:rPr>
        <w:t xml:space="preserve"> contribution</w:t>
      </w:r>
      <w:r w:rsidR="006E2C40">
        <w:rPr>
          <w:rFonts w:eastAsia="Times New Roman" w:cstheme="minorHAnsi"/>
          <w:b/>
          <w:bCs/>
        </w:rPr>
        <w:t xml:space="preserve"> </w:t>
      </w:r>
      <w:r w:rsidR="00154A97">
        <w:rPr>
          <w:rFonts w:eastAsia="Times New Roman" w:cstheme="minorHAnsi"/>
          <w:b/>
          <w:bCs/>
        </w:rPr>
        <w:t xml:space="preserve">for alignment and comparison </w:t>
      </w:r>
      <w:r w:rsidR="00154A97">
        <w:rPr>
          <w:rFonts w:eastAsia="Times New Roman" w:cstheme="minorHAnsi"/>
          <w:b/>
          <w:bCs/>
        </w:rPr>
        <w:t xml:space="preserve">of </w:t>
      </w:r>
      <w:r w:rsidR="00154A97">
        <w:rPr>
          <w:rFonts w:eastAsia="Times New Roman" w:cstheme="minorHAnsi"/>
          <w:b/>
          <w:bCs/>
        </w:rPr>
        <w:t>CDL Option A4</w:t>
      </w:r>
      <w:r>
        <w:rPr>
          <w:rFonts w:eastAsia="Times New Roman" w:cstheme="minorHAnsi"/>
          <w:b/>
          <w:bCs/>
        </w:rPr>
        <w:t>, as per offline alignment regarding the application of the angular scaling procedure</w:t>
      </w:r>
      <w:r w:rsidRPr="00B947C4">
        <w:rPr>
          <w:rFonts w:eastAsia="Times New Roman" w:cstheme="minorHAnsi"/>
          <w:b/>
          <w:bCs/>
        </w:rPr>
        <w:t>.</w:t>
      </w:r>
    </w:p>
    <w:p w14:paraId="0FD812A0" w14:textId="338DEACB" w:rsidR="00E56C20" w:rsidRDefault="005D4221" w:rsidP="008D5970">
      <w:r>
        <w:t xml:space="preserve">At the same time, RAN4 should </w:t>
      </w:r>
      <w:r w:rsidR="00396D64">
        <w:t xml:space="preserve">agree to reflect in the TR </w:t>
      </w:r>
      <w:r w:rsidR="00D232A3">
        <w:t xml:space="preserve">the expected update </w:t>
      </w:r>
      <w:r w:rsidR="00E56C20">
        <w:t>of the angular procedure, and to generate new CDL tables using the procedures agreed so far including the updated procedure</w:t>
      </w:r>
      <w:r w:rsidR="00041A59">
        <w:t>.</w:t>
      </w:r>
    </w:p>
    <w:p w14:paraId="17FDD3F7" w14:textId="5CF55C3F" w:rsidR="00D232A3" w:rsidRPr="00A85BE6" w:rsidRDefault="00154A97" w:rsidP="008D5970">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E2C40">
        <w:rPr>
          <w:rFonts w:eastAsia="Times New Roman" w:cstheme="minorHAnsi"/>
          <w:b/>
          <w:bCs/>
          <w:noProof/>
        </w:rPr>
        <w:t>2</w:t>
      </w:r>
      <w:r w:rsidRPr="00B947C4">
        <w:rPr>
          <w:rFonts w:eastAsia="Times New Roman" w:cstheme="minorHAnsi"/>
          <w:b/>
          <w:bCs/>
        </w:rPr>
        <w:fldChar w:fldCharType="end"/>
      </w:r>
      <w:r w:rsidRPr="00B947C4">
        <w:rPr>
          <w:rFonts w:eastAsia="Times New Roman" w:cstheme="minorHAnsi"/>
          <w:b/>
          <w:bCs/>
        </w:rPr>
        <w:t xml:space="preserve">: RAN4 </w:t>
      </w:r>
      <w:r>
        <w:rPr>
          <w:rFonts w:eastAsia="Times New Roman" w:cstheme="minorHAnsi"/>
          <w:b/>
          <w:bCs/>
        </w:rPr>
        <w:t>should capture the updated angular scaling procedure expected from the RAN1 WI on TR 38.901</w:t>
      </w:r>
      <w:r w:rsidR="00A85BE6">
        <w:rPr>
          <w:rFonts w:eastAsia="Times New Roman" w:cstheme="minorHAnsi"/>
          <w:b/>
          <w:bCs/>
        </w:rPr>
        <w:t xml:space="preserve"> </w:t>
      </w:r>
      <w:r w:rsidR="00A85BE6">
        <w:rPr>
          <w:rFonts w:eastAsia="Times New Roman" w:cstheme="minorHAnsi"/>
          <w:b/>
          <w:bCs/>
        </w:rPr>
        <w:t>and reference i</w:t>
      </w:r>
      <w:r w:rsidR="00A85BE6">
        <w:rPr>
          <w:rFonts w:eastAsia="Times New Roman" w:cstheme="minorHAnsi"/>
          <w:b/>
          <w:bCs/>
        </w:rPr>
        <w:t>t in</w:t>
      </w:r>
      <w:r w:rsidR="00A85BE6">
        <w:rPr>
          <w:rFonts w:eastAsia="Times New Roman" w:cstheme="minorHAnsi"/>
          <w:b/>
          <w:bCs/>
        </w:rPr>
        <w:t xml:space="preserve"> TR 38.753</w:t>
      </w:r>
      <w:r w:rsidR="00A85BE6">
        <w:rPr>
          <w:rFonts w:eastAsia="Times New Roman" w:cstheme="minorHAnsi"/>
          <w:b/>
          <w:bCs/>
        </w:rPr>
        <w:t xml:space="preserve">, recommending </w:t>
      </w:r>
      <w:r w:rsidR="00160CC0">
        <w:rPr>
          <w:rFonts w:eastAsia="Times New Roman" w:cstheme="minorHAnsi"/>
          <w:b/>
          <w:bCs/>
        </w:rPr>
        <w:t>it for future use</w:t>
      </w:r>
      <w:r w:rsidRPr="00B947C4">
        <w:rPr>
          <w:rFonts w:eastAsia="Times New Roman" w:cstheme="minorHAnsi"/>
          <w:b/>
          <w:bCs/>
        </w:rPr>
        <w:t>.</w:t>
      </w:r>
    </w:p>
    <w:p w14:paraId="4F2E2044" w14:textId="62D0C9FA" w:rsidR="00746653" w:rsidRDefault="0081344D" w:rsidP="008D5970">
      <w:r>
        <w:t xml:space="preserve">RAN4 should also </w:t>
      </w:r>
      <w:r w:rsidR="00D232A3">
        <w:t xml:space="preserve">further discuss </w:t>
      </w:r>
      <w:r>
        <w:t xml:space="preserve">how to </w:t>
      </w:r>
      <w:r w:rsidR="00AF1271">
        <w:t xml:space="preserve">address the </w:t>
      </w:r>
      <w:r w:rsidR="00D232A3">
        <w:t xml:space="preserve">CDL tables </w:t>
      </w:r>
      <w:r w:rsidR="00AF1271">
        <w:t xml:space="preserve">used for alignment after the update to the angular scaling procedure is used to the new ones that will once </w:t>
      </w:r>
      <w:r w:rsidR="00D232A3">
        <w:t xml:space="preserve">generated with the new angular scaling procedure, if different, will replace of be added alongside the tables used </w:t>
      </w:r>
      <w:r>
        <w:t xml:space="preserve"> </w:t>
      </w:r>
      <w:r w:rsidR="00D232A3">
        <w:t xml:space="preserve">will be captured in a new CDL profiles or it will replace the </w:t>
      </w:r>
    </w:p>
    <w:p w14:paraId="153BEB92" w14:textId="0750296D" w:rsidR="00D232A3" w:rsidRDefault="00160CC0" w:rsidP="008D5970">
      <w:r w:rsidRPr="00B947C4">
        <w:rPr>
          <w:rFonts w:eastAsia="Times New Roman" w:cstheme="minorHAnsi"/>
          <w:b/>
          <w:bCs/>
        </w:rPr>
        <w:lastRenderedPageBreak/>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E2C40">
        <w:rPr>
          <w:rFonts w:eastAsia="Times New Roman" w:cstheme="minorHAnsi"/>
          <w:b/>
          <w:bCs/>
          <w:noProof/>
        </w:rPr>
        <w:t>3</w:t>
      </w:r>
      <w:r w:rsidRPr="00B947C4">
        <w:rPr>
          <w:rFonts w:eastAsia="Times New Roman" w:cstheme="minorHAnsi"/>
          <w:b/>
          <w:bCs/>
        </w:rPr>
        <w:fldChar w:fldCharType="end"/>
      </w:r>
      <w:r w:rsidRPr="00B947C4">
        <w:rPr>
          <w:rFonts w:eastAsia="Times New Roman" w:cstheme="minorHAnsi"/>
          <w:b/>
          <w:bCs/>
        </w:rPr>
        <w:t xml:space="preserve">: RAN4 </w:t>
      </w:r>
      <w:r>
        <w:rPr>
          <w:rFonts w:eastAsia="Times New Roman" w:cstheme="minorHAnsi"/>
          <w:b/>
          <w:bCs/>
        </w:rPr>
        <w:t xml:space="preserve">should </w:t>
      </w:r>
      <w:r>
        <w:rPr>
          <w:rFonts w:eastAsia="Times New Roman" w:cstheme="minorHAnsi"/>
          <w:b/>
          <w:bCs/>
        </w:rPr>
        <w:t>discuss</w:t>
      </w:r>
      <w:r>
        <w:rPr>
          <w:rFonts w:eastAsia="Times New Roman" w:cstheme="minorHAnsi"/>
          <w:b/>
          <w:bCs/>
        </w:rPr>
        <w:t xml:space="preserve"> </w:t>
      </w:r>
      <w:r>
        <w:rPr>
          <w:rFonts w:eastAsia="Times New Roman" w:cstheme="minorHAnsi"/>
          <w:b/>
          <w:bCs/>
        </w:rPr>
        <w:t xml:space="preserve">how to address the CDL tables used for alignment and comparison </w:t>
      </w:r>
      <w:r w:rsidR="00D702F9">
        <w:rPr>
          <w:rFonts w:eastAsia="Times New Roman" w:cstheme="minorHAnsi"/>
          <w:b/>
          <w:bCs/>
        </w:rPr>
        <w:t>in future releases of TR 38.753, if the updated procedure</w:t>
      </w:r>
      <w:r>
        <w:rPr>
          <w:rFonts w:eastAsia="Times New Roman" w:cstheme="minorHAnsi"/>
          <w:b/>
          <w:bCs/>
        </w:rPr>
        <w:t xml:space="preserve"> </w:t>
      </w:r>
      <w:r w:rsidR="00D702F9">
        <w:rPr>
          <w:rFonts w:eastAsia="Times New Roman" w:cstheme="minorHAnsi"/>
          <w:b/>
          <w:bCs/>
        </w:rPr>
        <w:t xml:space="preserve">for </w:t>
      </w:r>
      <w:r w:rsidR="00343425">
        <w:rPr>
          <w:rFonts w:eastAsia="Times New Roman" w:cstheme="minorHAnsi"/>
          <w:b/>
          <w:bCs/>
        </w:rPr>
        <w:t xml:space="preserve">angular </w:t>
      </w:r>
      <w:r w:rsidR="00D702F9">
        <w:rPr>
          <w:rFonts w:eastAsia="Times New Roman" w:cstheme="minorHAnsi"/>
          <w:b/>
          <w:bCs/>
        </w:rPr>
        <w:t xml:space="preserve">scaling </w:t>
      </w:r>
      <w:r w:rsidR="00343425">
        <w:rPr>
          <w:rFonts w:eastAsia="Times New Roman" w:cstheme="minorHAnsi"/>
          <w:b/>
          <w:bCs/>
        </w:rPr>
        <w:t xml:space="preserve">results in </w:t>
      </w:r>
      <w:r w:rsidR="0049606E">
        <w:rPr>
          <w:rFonts w:eastAsia="Times New Roman" w:cstheme="minorHAnsi"/>
          <w:b/>
          <w:bCs/>
        </w:rPr>
        <w:t xml:space="preserve">differences </w:t>
      </w:r>
      <w:r w:rsidR="00343425">
        <w:rPr>
          <w:rFonts w:eastAsia="Times New Roman" w:cstheme="minorHAnsi"/>
          <w:b/>
          <w:bCs/>
        </w:rPr>
        <w:t>to the</w:t>
      </w:r>
      <w:r w:rsidR="0049606E">
        <w:rPr>
          <w:rFonts w:eastAsia="Times New Roman" w:cstheme="minorHAnsi"/>
          <w:b/>
          <w:bCs/>
        </w:rPr>
        <w:t xml:space="preserve"> outcome</w:t>
      </w:r>
      <w:r w:rsidRPr="00B947C4">
        <w:rPr>
          <w:rFonts w:eastAsia="Times New Roman" w:cstheme="minorHAnsi"/>
          <w:b/>
          <w:bCs/>
        </w:rPr>
        <w:t>.</w:t>
      </w:r>
      <w:r w:rsidR="0049606E">
        <w:rPr>
          <w:rFonts w:eastAsia="Times New Roman" w:cstheme="minorHAnsi"/>
          <w:b/>
          <w:bCs/>
        </w:rPr>
        <w:t xml:space="preserve"> One option could be to </w:t>
      </w:r>
      <w:r w:rsidR="00B76C8D">
        <w:rPr>
          <w:rFonts w:eastAsia="Times New Roman" w:cstheme="minorHAnsi"/>
          <w:b/>
          <w:bCs/>
        </w:rPr>
        <w:t xml:space="preserve">deprecate CDL profiles based on outdated procedure, </w:t>
      </w:r>
      <w:r w:rsidR="001A64ED">
        <w:rPr>
          <w:rFonts w:eastAsia="Times New Roman" w:cstheme="minorHAnsi"/>
          <w:b/>
          <w:bCs/>
        </w:rPr>
        <w:t xml:space="preserve">or different CDL profiles could be captured in the TR </w:t>
      </w:r>
      <w:r w:rsidR="00EC6141">
        <w:rPr>
          <w:rFonts w:eastAsia="Times New Roman" w:cstheme="minorHAnsi"/>
          <w:b/>
          <w:bCs/>
        </w:rPr>
        <w:t>with an identification to which Release of TR 38.901 they are based upon.</w:t>
      </w:r>
    </w:p>
    <w:p w14:paraId="2593A9E3" w14:textId="7F371AF8" w:rsidR="004277BA" w:rsidRDefault="00666033" w:rsidP="004277BA">
      <w:pPr>
        <w:pStyle w:val="Heading2"/>
      </w:pPr>
      <w:r>
        <w:t>Alignment with TR 38.901 in the TR 38.753</w:t>
      </w:r>
    </w:p>
    <w:p w14:paraId="624F3D8D" w14:textId="1196639E" w:rsidR="00EC6141" w:rsidRDefault="00EC6141" w:rsidP="00666033">
      <w:r>
        <w:t xml:space="preserve">This section deals with the </w:t>
      </w:r>
      <w:r w:rsidR="00DD4A23">
        <w:t xml:space="preserve">way forward regarding how to capture </w:t>
      </w:r>
      <w:r w:rsidR="007A6E6B">
        <w:t>the procedures</w:t>
      </w:r>
      <w:r w:rsidR="00397D96">
        <w:t xml:space="preserve">, and related explanations, contained in </w:t>
      </w:r>
      <w:r w:rsidR="00397D96">
        <w:t xml:space="preserve">3GPP TR 38.901 </w:t>
      </w:r>
      <w:r w:rsidR="00397D96">
        <w:t xml:space="preserve">which are related to </w:t>
      </w:r>
      <w:r w:rsidR="007A6E6B">
        <w:t xml:space="preserve">CDL </w:t>
      </w:r>
      <w:r w:rsidR="00397D96">
        <w:t xml:space="preserve">channel model implementations which </w:t>
      </w:r>
      <w:r w:rsidR="007A6E6B">
        <w:t xml:space="preserve">are </w:t>
      </w:r>
      <w:r w:rsidR="00397D96">
        <w:t xml:space="preserve">found to be </w:t>
      </w:r>
      <w:r w:rsidR="007A6E6B">
        <w:t xml:space="preserve">necessary </w:t>
      </w:r>
      <w:r w:rsidR="00397D96">
        <w:t xml:space="preserve">to the content of 3GPP </w:t>
      </w:r>
      <w:r w:rsidR="007A6E6B">
        <w:t>TR 38.753</w:t>
      </w:r>
      <w:r w:rsidR="006E5D97">
        <w:t xml:space="preserve"> </w:t>
      </w:r>
      <w:r w:rsidR="00761619">
        <w:t xml:space="preserve">in order to </w:t>
      </w:r>
      <w:r w:rsidR="00FD2639">
        <w:t xml:space="preserve">execute the steps that </w:t>
      </w:r>
      <w:r w:rsidR="00761619">
        <w:t xml:space="preserve">RAN4 </w:t>
      </w:r>
      <w:r w:rsidR="00FD2639">
        <w:t xml:space="preserve">has agreed in this SI for the derivation of </w:t>
      </w:r>
      <w:r w:rsidR="00585BCB">
        <w:t xml:space="preserve">the </w:t>
      </w:r>
      <w:r w:rsidR="00FD2639">
        <w:t xml:space="preserve">CDL Profiles </w:t>
      </w:r>
      <w:r w:rsidR="00585BCB">
        <w:t>for UE Demodulation</w:t>
      </w:r>
      <w:r w:rsidR="007A6E6B">
        <w:t xml:space="preserve">. </w:t>
      </w:r>
    </w:p>
    <w:p w14:paraId="321526AA" w14:textId="5E1EFC01" w:rsidR="00437CB2" w:rsidRDefault="00585BCB" w:rsidP="00666033">
      <w:r>
        <w:t xml:space="preserve">We believe that the most reliable and future-proof implementation </w:t>
      </w:r>
      <w:r w:rsidR="00945DFF">
        <w:t xml:space="preserve">is to introduce in the body of 3GPP TR 38.753 </w:t>
      </w:r>
      <w:r w:rsidR="00437CB2">
        <w:t xml:space="preserve">exclusively references to </w:t>
      </w:r>
      <w:r w:rsidR="00945DFF">
        <w:t>the relevant section, subsection</w:t>
      </w:r>
      <w:r w:rsidR="00980787">
        <w:t xml:space="preserve">, </w:t>
      </w:r>
      <w:r w:rsidR="00945DFF">
        <w:t>or equation</w:t>
      </w:r>
      <w:r w:rsidR="00980787">
        <w:t xml:space="preserve"> from </w:t>
      </w:r>
      <w:r w:rsidR="007E4F15">
        <w:t xml:space="preserve">a </w:t>
      </w:r>
      <w:r w:rsidR="00437CB2">
        <w:t xml:space="preserve">target </w:t>
      </w:r>
      <w:r w:rsidR="007E4F15">
        <w:t xml:space="preserve">release of </w:t>
      </w:r>
      <w:r w:rsidR="00980787">
        <w:t>3GPP TR 38.901</w:t>
      </w:r>
      <w:r w:rsidR="00945DFF">
        <w:t>, without any duplication of the content.</w:t>
      </w:r>
      <w:r w:rsidR="00CD5B38">
        <w:t xml:space="preserve"> </w:t>
      </w:r>
      <w:r w:rsidR="007E4F15">
        <w:t>Additional text can be included in 3GPP T</w:t>
      </w:r>
      <w:r w:rsidR="00CD5B38">
        <w:t xml:space="preserve">R 38.753 </w:t>
      </w:r>
      <w:r w:rsidR="007E4F15">
        <w:t xml:space="preserve">to explain </w:t>
      </w:r>
      <w:r w:rsidR="001F75E5">
        <w:t xml:space="preserve">any </w:t>
      </w:r>
      <w:r w:rsidR="007E4F15">
        <w:t xml:space="preserve">change on top of the </w:t>
      </w:r>
      <w:r w:rsidR="001F75E5">
        <w:t xml:space="preserve">referenced procedure, or to further detail the choice of parameters, or the implications. </w:t>
      </w:r>
    </w:p>
    <w:p w14:paraId="43F2B455" w14:textId="480A365B" w:rsidR="00437CB2" w:rsidRPr="00437CB2" w:rsidRDefault="00437CB2" w:rsidP="00666033">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E2C40">
        <w:rPr>
          <w:rFonts w:eastAsia="Times New Roman" w:cstheme="minorHAnsi"/>
          <w:b/>
          <w:bCs/>
          <w:noProof/>
        </w:rPr>
        <w:t>4</w:t>
      </w:r>
      <w:r w:rsidRPr="00B947C4">
        <w:rPr>
          <w:rFonts w:eastAsia="Times New Roman" w:cstheme="minorHAnsi"/>
          <w:b/>
          <w:bCs/>
        </w:rPr>
        <w:fldChar w:fldCharType="end"/>
      </w:r>
      <w:r w:rsidRPr="00B947C4">
        <w:rPr>
          <w:rFonts w:eastAsia="Times New Roman" w:cstheme="minorHAnsi"/>
          <w:b/>
          <w:bCs/>
        </w:rPr>
        <w:t xml:space="preserve">: RAN4 </w:t>
      </w:r>
      <w:r w:rsidR="00152484" w:rsidRPr="00152484">
        <w:rPr>
          <w:rFonts w:eastAsia="Times New Roman" w:cstheme="minorHAnsi"/>
          <w:b/>
          <w:bCs/>
        </w:rPr>
        <w:t xml:space="preserve">to introduce in the body of 3GPP TR 38.753 exclusively references to the relevant section, subsection, or equation from a target release of 3GPP TR 38.901, without any duplication of the content. Additional text can be included in 3GPP TR 38.753 to explain any change on top of the referenced procedure, or to further detail the choice of parameters, or the implications. </w:t>
      </w:r>
    </w:p>
    <w:p w14:paraId="619908AB" w14:textId="63CB2A3D" w:rsidR="00666033" w:rsidRPr="00666033" w:rsidRDefault="00CA1759" w:rsidP="00666033">
      <w:r>
        <w:t xml:space="preserve">It is our view that this procedure </w:t>
      </w:r>
      <w:r w:rsidR="001F75E5">
        <w:t xml:space="preserve">will allow </w:t>
      </w:r>
      <w:r>
        <w:t>TR 38.753 to both keep consistency regardless of future changes in TR 38.901</w:t>
      </w:r>
      <w:r w:rsidR="00437CB2">
        <w:t>, and to easily implement future incoming changes when necessary.</w:t>
      </w:r>
    </w:p>
    <w:bookmarkEnd w:id="2"/>
    <w:bookmarkEnd w:id="3"/>
    <w:p w14:paraId="1199F076" w14:textId="0B5B7E86" w:rsidR="00E22B1E"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540558">
        <w:rPr>
          <w:rFonts w:eastAsia="Times New Roman" w:cstheme="minorHAnsi"/>
          <w:sz w:val="36"/>
          <w:szCs w:val="20"/>
        </w:rPr>
        <w:t>Conclusion</w:t>
      </w:r>
      <w:bookmarkStart w:id="4" w:name="_Hlk85466326"/>
      <w:r w:rsidRPr="00540558">
        <w:rPr>
          <w:rFonts w:eastAsia="Times New Roman" w:cstheme="minorHAnsi"/>
          <w:sz w:val="36"/>
          <w:szCs w:val="20"/>
        </w:rPr>
        <w:t>s</w:t>
      </w:r>
      <w:bookmarkEnd w:id="4"/>
    </w:p>
    <w:p w14:paraId="708ADD1D" w14:textId="77777777" w:rsidR="00847EA4" w:rsidRPr="00614941" w:rsidRDefault="00847EA4" w:rsidP="00847EA4">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1</w:t>
      </w:r>
      <w:r w:rsidRPr="00B947C4">
        <w:rPr>
          <w:rFonts w:eastAsia="Times New Roman" w:cstheme="minorHAnsi"/>
          <w:b/>
          <w:bCs/>
        </w:rPr>
        <w:fldChar w:fldCharType="end"/>
      </w:r>
      <w:r w:rsidRPr="00B947C4">
        <w:rPr>
          <w:rFonts w:eastAsia="Times New Roman" w:cstheme="minorHAnsi"/>
          <w:b/>
          <w:bCs/>
        </w:rPr>
        <w:t xml:space="preserve">: RAN4 to </w:t>
      </w:r>
      <w:r>
        <w:rPr>
          <w:rFonts w:eastAsia="Times New Roman" w:cstheme="minorHAnsi"/>
          <w:b/>
          <w:bCs/>
        </w:rPr>
        <w:t>continue the work in this SI using the tables included in Annex A in this contribution for alignment and comparison of CDL Option A4, as per offline alignment regarding the application of the angular scaling procedure</w:t>
      </w:r>
      <w:r w:rsidRPr="00B947C4">
        <w:rPr>
          <w:rFonts w:eastAsia="Times New Roman" w:cstheme="minorHAnsi"/>
          <w:b/>
          <w:bCs/>
        </w:rPr>
        <w:t>.</w:t>
      </w:r>
    </w:p>
    <w:p w14:paraId="1A51A03E" w14:textId="77777777" w:rsidR="00847EA4" w:rsidRPr="00A85BE6" w:rsidRDefault="00847EA4" w:rsidP="00847EA4">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2</w:t>
      </w:r>
      <w:r w:rsidRPr="00B947C4">
        <w:rPr>
          <w:rFonts w:eastAsia="Times New Roman" w:cstheme="minorHAnsi"/>
          <w:b/>
          <w:bCs/>
        </w:rPr>
        <w:fldChar w:fldCharType="end"/>
      </w:r>
      <w:r w:rsidRPr="00B947C4">
        <w:rPr>
          <w:rFonts w:eastAsia="Times New Roman" w:cstheme="minorHAnsi"/>
          <w:b/>
          <w:bCs/>
        </w:rPr>
        <w:t xml:space="preserve">: RAN4 </w:t>
      </w:r>
      <w:r>
        <w:rPr>
          <w:rFonts w:eastAsia="Times New Roman" w:cstheme="minorHAnsi"/>
          <w:b/>
          <w:bCs/>
        </w:rPr>
        <w:t>should capture the updated angular scaling procedure expected from the RAN1 WI on TR 38.901 and reference it in TR 38.753, recommending it for future use</w:t>
      </w:r>
      <w:r w:rsidRPr="00B947C4">
        <w:rPr>
          <w:rFonts w:eastAsia="Times New Roman" w:cstheme="minorHAnsi"/>
          <w:b/>
          <w:bCs/>
        </w:rPr>
        <w:t>.</w:t>
      </w:r>
    </w:p>
    <w:p w14:paraId="487D23FE" w14:textId="77777777" w:rsidR="00847EA4" w:rsidRDefault="00847EA4" w:rsidP="00847EA4">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3</w:t>
      </w:r>
      <w:r w:rsidRPr="00B947C4">
        <w:rPr>
          <w:rFonts w:eastAsia="Times New Roman" w:cstheme="minorHAnsi"/>
          <w:b/>
          <w:bCs/>
        </w:rPr>
        <w:fldChar w:fldCharType="end"/>
      </w:r>
      <w:r w:rsidRPr="00B947C4">
        <w:rPr>
          <w:rFonts w:eastAsia="Times New Roman" w:cstheme="minorHAnsi"/>
          <w:b/>
          <w:bCs/>
        </w:rPr>
        <w:t xml:space="preserve">: RAN4 </w:t>
      </w:r>
      <w:r>
        <w:rPr>
          <w:rFonts w:eastAsia="Times New Roman" w:cstheme="minorHAnsi"/>
          <w:b/>
          <w:bCs/>
        </w:rPr>
        <w:t>should discuss how to address the CDL tables used for alignment and comparison in future releases of TR 38.753, if the updated procedure for angular scaling results in differences to the outcome</w:t>
      </w:r>
      <w:r w:rsidRPr="00B947C4">
        <w:rPr>
          <w:rFonts w:eastAsia="Times New Roman" w:cstheme="minorHAnsi"/>
          <w:b/>
          <w:bCs/>
        </w:rPr>
        <w:t>.</w:t>
      </w:r>
      <w:r>
        <w:rPr>
          <w:rFonts w:eastAsia="Times New Roman" w:cstheme="minorHAnsi"/>
          <w:b/>
          <w:bCs/>
        </w:rPr>
        <w:t xml:space="preserve"> One option could be to deprecate CDL profiles based on outdated procedure, or different CDL profiles could be captured in the TR with an identification to which Release of TR 38.901 they are based upon.</w:t>
      </w:r>
    </w:p>
    <w:p w14:paraId="27EDE048" w14:textId="4EC14D92" w:rsidR="00E22B1E" w:rsidRPr="00D14904" w:rsidRDefault="00847EA4" w:rsidP="00D14904">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4</w:t>
      </w:r>
      <w:r w:rsidRPr="00B947C4">
        <w:rPr>
          <w:rFonts w:eastAsia="Times New Roman" w:cstheme="minorHAnsi"/>
          <w:b/>
          <w:bCs/>
        </w:rPr>
        <w:fldChar w:fldCharType="end"/>
      </w:r>
      <w:r w:rsidRPr="00B947C4">
        <w:rPr>
          <w:rFonts w:eastAsia="Times New Roman" w:cstheme="minorHAnsi"/>
          <w:b/>
          <w:bCs/>
        </w:rPr>
        <w:t xml:space="preserve">: RAN4 </w:t>
      </w:r>
      <w:r w:rsidRPr="00152484">
        <w:rPr>
          <w:rFonts w:eastAsia="Times New Roman" w:cstheme="minorHAnsi"/>
          <w:b/>
          <w:bCs/>
        </w:rPr>
        <w:t xml:space="preserve">to introduce in the body of 3GPP TR 38.753 exclusively references to the relevant section, subsection, or equation from a target release of 3GPP TR 38.901, without any duplication of the content. Additional text can be included in 3GPP TR 38.753 to explain any change on top of the referenced procedure, or to further detail the choice of parameters, or the implications. </w:t>
      </w:r>
    </w:p>
    <w:p w14:paraId="5A26938F" w14:textId="77777777" w:rsidR="00FB277C" w:rsidRPr="00540558"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540558">
        <w:rPr>
          <w:rFonts w:eastAsia="Times New Roman" w:cstheme="minorHAnsi"/>
          <w:sz w:val="36"/>
          <w:szCs w:val="20"/>
        </w:rPr>
        <w:t>References</w:t>
      </w:r>
    </w:p>
    <w:p w14:paraId="11C7DB37" w14:textId="092E99D9" w:rsidR="00E04262" w:rsidRPr="006E1EB5" w:rsidRDefault="00E04262" w:rsidP="0003626C">
      <w:pPr>
        <w:rPr>
          <w:lang w:eastAsia="zh-CN"/>
        </w:rPr>
      </w:pPr>
      <w:r w:rsidRPr="006E1EB5">
        <w:rPr>
          <w:rFonts w:cstheme="minorHAnsi"/>
        </w:rPr>
        <w:t xml:space="preserve">[1] </w:t>
      </w:r>
      <w:r w:rsidR="00A44E4D" w:rsidRPr="006E1EB5">
        <w:rPr>
          <w:rFonts w:cstheme="minorHAnsi"/>
          <w:b/>
          <w:bCs/>
        </w:rPr>
        <w:t>RP-241610</w:t>
      </w:r>
      <w:r w:rsidR="00146CE3" w:rsidRPr="006E1EB5">
        <w:rPr>
          <w:rFonts w:cstheme="minorHAnsi"/>
        </w:rPr>
        <w:t>, “</w:t>
      </w:r>
      <w:r w:rsidR="00146CE3" w:rsidRPr="006E1EB5">
        <w:rPr>
          <w:i/>
          <w:iCs/>
          <w:lang w:eastAsia="zh-CN"/>
        </w:rPr>
        <w:t>Study on spatial channel model for demodulation performance requirements</w:t>
      </w:r>
      <w:r w:rsidR="00146CE3" w:rsidRPr="006E1EB5">
        <w:rPr>
          <w:lang w:eastAsia="zh-CN"/>
        </w:rPr>
        <w:t>”</w:t>
      </w:r>
      <w:r w:rsidR="0003626C" w:rsidRPr="006E1EB5">
        <w:rPr>
          <w:lang w:eastAsia="zh-CN"/>
        </w:rPr>
        <w:t>, 3GPP TSG RAN Meeting #104, Shanghai, China, 17th – 20th June, 2024;</w:t>
      </w:r>
    </w:p>
    <w:p w14:paraId="5B81D8F2" w14:textId="60C32031" w:rsidR="00F2745C" w:rsidRDefault="005B74F8" w:rsidP="00FB277C">
      <w:pPr>
        <w:rPr>
          <w:rFonts w:eastAsia="Times New Roman" w:cstheme="minorHAnsi"/>
          <w:sz w:val="24"/>
          <w:szCs w:val="24"/>
        </w:rPr>
      </w:pPr>
      <w:r w:rsidRPr="006E1EB5">
        <w:rPr>
          <w:lang w:eastAsia="zh-CN"/>
        </w:rPr>
        <w:lastRenderedPageBreak/>
        <w:t>[</w:t>
      </w:r>
      <w:r w:rsidR="00F743FD">
        <w:rPr>
          <w:lang w:eastAsia="zh-CN"/>
        </w:rPr>
        <w:t>2</w:t>
      </w:r>
      <w:r w:rsidRPr="006E1EB5">
        <w:rPr>
          <w:lang w:eastAsia="zh-CN"/>
        </w:rPr>
        <w:t>]</w:t>
      </w:r>
      <w:r w:rsidR="00927B41" w:rsidRPr="006E1EB5">
        <w:rPr>
          <w:lang w:eastAsia="zh-CN"/>
        </w:rPr>
        <w:t xml:space="preserve"> </w:t>
      </w:r>
      <w:r w:rsidR="002A17B2" w:rsidRPr="002A17B2">
        <w:rPr>
          <w:b/>
          <w:bCs/>
          <w:lang w:eastAsia="zh-CN"/>
        </w:rPr>
        <w:t>R4-2504756</w:t>
      </w:r>
      <w:r w:rsidR="00927B41" w:rsidRPr="006E1EB5">
        <w:rPr>
          <w:b/>
          <w:bCs/>
          <w:lang w:eastAsia="zh-CN"/>
        </w:rPr>
        <w:t>,</w:t>
      </w:r>
      <w:r w:rsidR="00927B41" w:rsidRPr="006E1EB5">
        <w:rPr>
          <w:i/>
          <w:iCs/>
          <w:lang w:eastAsia="zh-CN"/>
        </w:rPr>
        <w:t xml:space="preserve"> “</w:t>
      </w:r>
      <w:r w:rsidR="002A17B2" w:rsidRPr="002A17B2">
        <w:rPr>
          <w:i/>
          <w:iCs/>
          <w:lang w:eastAsia="zh-CN"/>
        </w:rPr>
        <w:t>Way Forward for [114bis][320] NR_SCM</w:t>
      </w:r>
      <w:r w:rsidR="00927B41" w:rsidRPr="006E1EB5">
        <w:rPr>
          <w:i/>
          <w:iCs/>
          <w:lang w:eastAsia="zh-CN"/>
        </w:rPr>
        <w:t xml:space="preserve">”, </w:t>
      </w:r>
      <w:r w:rsidR="00C775A2" w:rsidRPr="006E1EB5">
        <w:rPr>
          <w:lang w:eastAsia="zh-CN"/>
        </w:rPr>
        <w:t>3GPP TSG-RAN WG4 Meeting #11</w:t>
      </w:r>
      <w:r w:rsidR="00443072">
        <w:rPr>
          <w:lang w:eastAsia="zh-CN"/>
        </w:rPr>
        <w:t>4</w:t>
      </w:r>
      <w:r w:rsidR="002A17B2">
        <w:rPr>
          <w:lang w:eastAsia="zh-CN"/>
        </w:rPr>
        <w:t>-bis</w:t>
      </w:r>
    </w:p>
    <w:p w14:paraId="41700E27" w14:textId="1279E983" w:rsidR="005578B8" w:rsidRPr="005578B8" w:rsidRDefault="00BF297E" w:rsidP="004B60BF">
      <w:pPr>
        <w:pStyle w:val="Heading1"/>
        <w:numPr>
          <w:ilvl w:val="0"/>
          <w:numId w:val="0"/>
        </w:numPr>
        <w:ind w:left="432" w:hanging="432"/>
        <w:rPr>
          <w:lang w:eastAsia="zh-CN"/>
        </w:rPr>
      </w:pPr>
      <w:r>
        <w:rPr>
          <w:lang w:eastAsia="zh-CN"/>
        </w:rPr>
        <w:t>ANNEX</w:t>
      </w:r>
      <w:r w:rsidR="005E2A95">
        <w:rPr>
          <w:lang w:eastAsia="zh-CN"/>
        </w:rPr>
        <w:t xml:space="preserve"> A</w:t>
      </w:r>
      <w:r w:rsidR="0052437D">
        <w:rPr>
          <w:lang w:eastAsia="zh-CN"/>
        </w:rPr>
        <w:t xml:space="preserve">: CDL-C </w:t>
      </w:r>
      <w:r w:rsidR="006B6F71">
        <w:rPr>
          <w:lang w:eastAsia="zh-CN"/>
        </w:rPr>
        <w:t>Profiles</w:t>
      </w:r>
      <w:r w:rsidR="0052437D">
        <w:rPr>
          <w:lang w:eastAsia="zh-CN"/>
        </w:rPr>
        <w:t xml:space="preserve"> </w:t>
      </w:r>
      <w:r w:rsidR="006B6F71">
        <w:rPr>
          <w:lang w:eastAsia="zh-CN"/>
        </w:rPr>
        <w:t>Used for Option A4</w:t>
      </w:r>
      <w:r w:rsidR="00CE79DD">
        <w:rPr>
          <w:lang w:eastAsia="zh-CN"/>
        </w:rPr>
        <w:t>, AAV(1,1)</w:t>
      </w:r>
    </w:p>
    <w:tbl>
      <w:tblPr>
        <w:tblW w:w="6720" w:type="dxa"/>
        <w:tblLook w:val="04A0" w:firstRow="1" w:lastRow="0" w:firstColumn="1" w:lastColumn="0" w:noHBand="0" w:noVBand="1"/>
      </w:tblPr>
      <w:tblGrid>
        <w:gridCol w:w="949"/>
        <w:gridCol w:w="960"/>
        <w:gridCol w:w="959"/>
        <w:gridCol w:w="967"/>
        <w:gridCol w:w="960"/>
        <w:gridCol w:w="977"/>
        <w:gridCol w:w="948"/>
      </w:tblGrid>
      <w:tr w:rsidR="00CE79DD" w:rsidRPr="00CE79DD" w14:paraId="45CD0DB3" w14:textId="77777777" w:rsidTr="00CE79DD">
        <w:trPr>
          <w:trHeight w:val="570"/>
        </w:trPr>
        <w:tc>
          <w:tcPr>
            <w:tcW w:w="94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B60AB95"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CLID</w:t>
            </w:r>
          </w:p>
        </w:tc>
        <w:tc>
          <w:tcPr>
            <w:tcW w:w="960" w:type="dxa"/>
            <w:tcBorders>
              <w:top w:val="single" w:sz="8" w:space="0" w:color="000000"/>
              <w:left w:val="nil"/>
              <w:bottom w:val="single" w:sz="8" w:space="0" w:color="000000"/>
              <w:right w:val="single" w:sz="8" w:space="0" w:color="000000"/>
            </w:tcBorders>
            <w:shd w:val="clear" w:color="auto" w:fill="auto"/>
            <w:vAlign w:val="center"/>
            <w:hideMark/>
          </w:tcPr>
          <w:p w14:paraId="56A34D91"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Delay, nsec</w:t>
            </w:r>
          </w:p>
        </w:tc>
        <w:tc>
          <w:tcPr>
            <w:tcW w:w="959" w:type="dxa"/>
            <w:tcBorders>
              <w:top w:val="single" w:sz="8" w:space="0" w:color="000000"/>
              <w:left w:val="nil"/>
              <w:bottom w:val="single" w:sz="8" w:space="0" w:color="000000"/>
              <w:right w:val="single" w:sz="8" w:space="0" w:color="000000"/>
            </w:tcBorders>
            <w:shd w:val="clear" w:color="auto" w:fill="auto"/>
            <w:vAlign w:val="center"/>
            <w:hideMark/>
          </w:tcPr>
          <w:p w14:paraId="51E396BB"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Power, dB</w:t>
            </w:r>
          </w:p>
        </w:tc>
        <w:tc>
          <w:tcPr>
            <w:tcW w:w="967" w:type="dxa"/>
            <w:tcBorders>
              <w:top w:val="single" w:sz="8" w:space="0" w:color="000000"/>
              <w:left w:val="nil"/>
              <w:bottom w:val="single" w:sz="8" w:space="0" w:color="000000"/>
              <w:right w:val="single" w:sz="8" w:space="0" w:color="000000"/>
            </w:tcBorders>
            <w:shd w:val="clear" w:color="auto" w:fill="auto"/>
            <w:vAlign w:val="center"/>
            <w:hideMark/>
          </w:tcPr>
          <w:p w14:paraId="231A62B8"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AoD, deg</w:t>
            </w:r>
          </w:p>
        </w:tc>
        <w:tc>
          <w:tcPr>
            <w:tcW w:w="960" w:type="dxa"/>
            <w:tcBorders>
              <w:top w:val="single" w:sz="8" w:space="0" w:color="000000"/>
              <w:left w:val="nil"/>
              <w:bottom w:val="single" w:sz="8" w:space="0" w:color="000000"/>
              <w:right w:val="single" w:sz="8" w:space="0" w:color="000000"/>
            </w:tcBorders>
            <w:shd w:val="clear" w:color="auto" w:fill="auto"/>
            <w:vAlign w:val="center"/>
            <w:hideMark/>
          </w:tcPr>
          <w:p w14:paraId="4649FE11"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AoA, deg</w:t>
            </w:r>
          </w:p>
        </w:tc>
        <w:tc>
          <w:tcPr>
            <w:tcW w:w="977" w:type="dxa"/>
            <w:tcBorders>
              <w:top w:val="single" w:sz="8" w:space="0" w:color="000000"/>
              <w:left w:val="nil"/>
              <w:bottom w:val="single" w:sz="8" w:space="0" w:color="000000"/>
              <w:right w:val="single" w:sz="8" w:space="0" w:color="000000"/>
            </w:tcBorders>
            <w:shd w:val="clear" w:color="auto" w:fill="auto"/>
            <w:vAlign w:val="center"/>
            <w:hideMark/>
          </w:tcPr>
          <w:p w14:paraId="1FA4A81F"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ZoD, deg</w:t>
            </w:r>
          </w:p>
        </w:tc>
        <w:tc>
          <w:tcPr>
            <w:tcW w:w="948" w:type="dxa"/>
            <w:tcBorders>
              <w:top w:val="single" w:sz="8" w:space="0" w:color="000000"/>
              <w:left w:val="nil"/>
              <w:bottom w:val="single" w:sz="8" w:space="0" w:color="000000"/>
              <w:right w:val="single" w:sz="8" w:space="0" w:color="000000"/>
            </w:tcBorders>
            <w:shd w:val="clear" w:color="auto" w:fill="auto"/>
            <w:vAlign w:val="center"/>
            <w:hideMark/>
          </w:tcPr>
          <w:p w14:paraId="0AD26DDA"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ZoA, deg</w:t>
            </w:r>
          </w:p>
        </w:tc>
      </w:tr>
      <w:tr w:rsidR="00CE79DD" w:rsidRPr="00CE79DD" w14:paraId="2E679029" w14:textId="77777777" w:rsidTr="00CE79DD">
        <w:trPr>
          <w:trHeight w:val="290"/>
        </w:trPr>
        <w:tc>
          <w:tcPr>
            <w:tcW w:w="949" w:type="dxa"/>
            <w:tcBorders>
              <w:top w:val="nil"/>
              <w:left w:val="single" w:sz="8" w:space="0" w:color="000000"/>
              <w:bottom w:val="single" w:sz="8" w:space="0" w:color="000000"/>
              <w:right w:val="single" w:sz="8" w:space="0" w:color="000000"/>
            </w:tcBorders>
            <w:shd w:val="clear" w:color="auto" w:fill="auto"/>
            <w:vAlign w:val="center"/>
            <w:hideMark/>
          </w:tcPr>
          <w:p w14:paraId="66936D22"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w:t>
            </w:r>
          </w:p>
        </w:tc>
        <w:tc>
          <w:tcPr>
            <w:tcW w:w="960" w:type="dxa"/>
            <w:tcBorders>
              <w:top w:val="nil"/>
              <w:left w:val="nil"/>
              <w:bottom w:val="single" w:sz="8" w:space="0" w:color="000000"/>
              <w:right w:val="single" w:sz="8" w:space="0" w:color="000000"/>
            </w:tcBorders>
            <w:shd w:val="clear" w:color="auto" w:fill="auto"/>
            <w:vAlign w:val="center"/>
            <w:hideMark/>
          </w:tcPr>
          <w:p w14:paraId="40CE9AC7"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0</w:t>
            </w:r>
          </w:p>
        </w:tc>
        <w:tc>
          <w:tcPr>
            <w:tcW w:w="959" w:type="dxa"/>
            <w:tcBorders>
              <w:top w:val="nil"/>
              <w:left w:val="nil"/>
              <w:bottom w:val="single" w:sz="8" w:space="0" w:color="000000"/>
              <w:right w:val="single" w:sz="8" w:space="0" w:color="000000"/>
            </w:tcBorders>
            <w:shd w:val="clear" w:color="auto" w:fill="auto"/>
            <w:vAlign w:val="center"/>
            <w:hideMark/>
          </w:tcPr>
          <w:p w14:paraId="51148D92"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-7.4</w:t>
            </w:r>
          </w:p>
        </w:tc>
        <w:tc>
          <w:tcPr>
            <w:tcW w:w="967" w:type="dxa"/>
            <w:tcBorders>
              <w:top w:val="nil"/>
              <w:left w:val="nil"/>
              <w:bottom w:val="single" w:sz="8" w:space="0" w:color="000000"/>
              <w:right w:val="single" w:sz="8" w:space="0" w:color="000000"/>
            </w:tcBorders>
            <w:shd w:val="clear" w:color="auto" w:fill="auto"/>
            <w:vAlign w:val="center"/>
            <w:hideMark/>
          </w:tcPr>
          <w:p w14:paraId="1C880C9B"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-38.2</w:t>
            </w:r>
          </w:p>
        </w:tc>
        <w:tc>
          <w:tcPr>
            <w:tcW w:w="960" w:type="dxa"/>
            <w:tcBorders>
              <w:top w:val="nil"/>
              <w:left w:val="nil"/>
              <w:bottom w:val="single" w:sz="8" w:space="0" w:color="000000"/>
              <w:right w:val="single" w:sz="8" w:space="0" w:color="000000"/>
            </w:tcBorders>
            <w:shd w:val="clear" w:color="auto" w:fill="auto"/>
            <w:vAlign w:val="center"/>
            <w:hideMark/>
          </w:tcPr>
          <w:p w14:paraId="2A5865BC"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-97</w:t>
            </w:r>
          </w:p>
        </w:tc>
        <w:tc>
          <w:tcPr>
            <w:tcW w:w="977" w:type="dxa"/>
            <w:tcBorders>
              <w:top w:val="nil"/>
              <w:left w:val="nil"/>
              <w:bottom w:val="single" w:sz="8" w:space="0" w:color="000000"/>
              <w:right w:val="nil"/>
            </w:tcBorders>
            <w:shd w:val="clear" w:color="auto" w:fill="auto"/>
            <w:vAlign w:val="center"/>
            <w:hideMark/>
          </w:tcPr>
          <w:p w14:paraId="1C43A575"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96.8</w:t>
            </w:r>
          </w:p>
        </w:tc>
        <w:tc>
          <w:tcPr>
            <w:tcW w:w="948" w:type="dxa"/>
            <w:tcBorders>
              <w:top w:val="nil"/>
              <w:left w:val="single" w:sz="8" w:space="0" w:color="000000"/>
              <w:bottom w:val="single" w:sz="8" w:space="0" w:color="000000"/>
              <w:right w:val="single" w:sz="8" w:space="0" w:color="000000"/>
            </w:tcBorders>
            <w:shd w:val="clear" w:color="auto" w:fill="auto"/>
            <w:vAlign w:val="center"/>
            <w:hideMark/>
          </w:tcPr>
          <w:p w14:paraId="6A2F29E8"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98.1</w:t>
            </w:r>
          </w:p>
        </w:tc>
      </w:tr>
      <w:tr w:rsidR="00CE79DD" w:rsidRPr="00CE79DD" w14:paraId="59B193BE" w14:textId="77777777" w:rsidTr="00CE79DD">
        <w:trPr>
          <w:trHeight w:val="300"/>
        </w:trPr>
        <w:tc>
          <w:tcPr>
            <w:tcW w:w="949" w:type="dxa"/>
            <w:tcBorders>
              <w:top w:val="nil"/>
              <w:left w:val="single" w:sz="8" w:space="0" w:color="000000"/>
              <w:bottom w:val="single" w:sz="8" w:space="0" w:color="000000"/>
              <w:right w:val="single" w:sz="8" w:space="0" w:color="000000"/>
            </w:tcBorders>
            <w:shd w:val="clear" w:color="auto" w:fill="auto"/>
            <w:vAlign w:val="center"/>
            <w:hideMark/>
          </w:tcPr>
          <w:p w14:paraId="5612376E"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2</w:t>
            </w:r>
          </w:p>
        </w:tc>
        <w:tc>
          <w:tcPr>
            <w:tcW w:w="960" w:type="dxa"/>
            <w:tcBorders>
              <w:top w:val="nil"/>
              <w:left w:val="nil"/>
              <w:bottom w:val="single" w:sz="8" w:space="0" w:color="000000"/>
              <w:right w:val="single" w:sz="8" w:space="0" w:color="000000"/>
            </w:tcBorders>
            <w:shd w:val="clear" w:color="auto" w:fill="auto"/>
            <w:vAlign w:val="center"/>
            <w:hideMark/>
          </w:tcPr>
          <w:p w14:paraId="13E55C31"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132</w:t>
            </w:r>
          </w:p>
        </w:tc>
        <w:tc>
          <w:tcPr>
            <w:tcW w:w="959" w:type="dxa"/>
            <w:tcBorders>
              <w:top w:val="nil"/>
              <w:left w:val="nil"/>
              <w:bottom w:val="single" w:sz="8" w:space="0" w:color="000000"/>
              <w:right w:val="single" w:sz="8" w:space="0" w:color="000000"/>
            </w:tcBorders>
            <w:shd w:val="clear" w:color="auto" w:fill="auto"/>
            <w:vAlign w:val="center"/>
            <w:hideMark/>
          </w:tcPr>
          <w:p w14:paraId="610E867C"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-1.2</w:t>
            </w:r>
          </w:p>
        </w:tc>
        <w:tc>
          <w:tcPr>
            <w:tcW w:w="967" w:type="dxa"/>
            <w:tcBorders>
              <w:top w:val="nil"/>
              <w:left w:val="nil"/>
              <w:bottom w:val="single" w:sz="8" w:space="0" w:color="000000"/>
              <w:right w:val="single" w:sz="8" w:space="0" w:color="000000"/>
            </w:tcBorders>
            <w:shd w:val="clear" w:color="auto" w:fill="auto"/>
            <w:vAlign w:val="center"/>
            <w:hideMark/>
          </w:tcPr>
          <w:p w14:paraId="054A3637"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-21.8</w:t>
            </w:r>
          </w:p>
        </w:tc>
        <w:tc>
          <w:tcPr>
            <w:tcW w:w="960" w:type="dxa"/>
            <w:tcBorders>
              <w:top w:val="nil"/>
              <w:left w:val="nil"/>
              <w:bottom w:val="single" w:sz="8" w:space="0" w:color="000000"/>
              <w:right w:val="single" w:sz="8" w:space="0" w:color="000000"/>
            </w:tcBorders>
            <w:shd w:val="clear" w:color="auto" w:fill="auto"/>
            <w:vAlign w:val="center"/>
            <w:hideMark/>
          </w:tcPr>
          <w:p w14:paraId="0B0E966E"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118.9</w:t>
            </w:r>
          </w:p>
        </w:tc>
        <w:tc>
          <w:tcPr>
            <w:tcW w:w="977" w:type="dxa"/>
            <w:tcBorders>
              <w:top w:val="nil"/>
              <w:left w:val="nil"/>
              <w:bottom w:val="single" w:sz="8" w:space="0" w:color="000000"/>
              <w:right w:val="nil"/>
            </w:tcBorders>
            <w:shd w:val="clear" w:color="auto" w:fill="auto"/>
            <w:vAlign w:val="center"/>
            <w:hideMark/>
          </w:tcPr>
          <w:p w14:paraId="49ADA126"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98.5</w:t>
            </w:r>
          </w:p>
        </w:tc>
        <w:tc>
          <w:tcPr>
            <w:tcW w:w="948" w:type="dxa"/>
            <w:tcBorders>
              <w:top w:val="nil"/>
              <w:left w:val="single" w:sz="8" w:space="0" w:color="000000"/>
              <w:bottom w:val="single" w:sz="8" w:space="0" w:color="000000"/>
              <w:right w:val="single" w:sz="8" w:space="0" w:color="000000"/>
            </w:tcBorders>
            <w:shd w:val="clear" w:color="auto" w:fill="auto"/>
            <w:vAlign w:val="center"/>
            <w:hideMark/>
          </w:tcPr>
          <w:p w14:paraId="250C0892"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71.1</w:t>
            </w:r>
          </w:p>
        </w:tc>
      </w:tr>
      <w:tr w:rsidR="00CE79DD" w:rsidRPr="00CE79DD" w14:paraId="5E1BB8C4" w14:textId="77777777" w:rsidTr="00CE79DD">
        <w:trPr>
          <w:trHeight w:val="300"/>
        </w:trPr>
        <w:tc>
          <w:tcPr>
            <w:tcW w:w="949" w:type="dxa"/>
            <w:tcBorders>
              <w:top w:val="nil"/>
              <w:left w:val="single" w:sz="8" w:space="0" w:color="000000"/>
              <w:bottom w:val="single" w:sz="8" w:space="0" w:color="000000"/>
              <w:right w:val="single" w:sz="8" w:space="0" w:color="000000"/>
            </w:tcBorders>
            <w:shd w:val="clear" w:color="auto" w:fill="auto"/>
            <w:vAlign w:val="center"/>
            <w:hideMark/>
          </w:tcPr>
          <w:p w14:paraId="0C7DBD8A"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3</w:t>
            </w:r>
          </w:p>
        </w:tc>
        <w:tc>
          <w:tcPr>
            <w:tcW w:w="960" w:type="dxa"/>
            <w:tcBorders>
              <w:top w:val="nil"/>
              <w:left w:val="nil"/>
              <w:bottom w:val="single" w:sz="8" w:space="0" w:color="000000"/>
              <w:right w:val="single" w:sz="8" w:space="0" w:color="000000"/>
            </w:tcBorders>
            <w:shd w:val="clear" w:color="auto" w:fill="auto"/>
            <w:vAlign w:val="center"/>
            <w:hideMark/>
          </w:tcPr>
          <w:p w14:paraId="4EDCFE9F"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138</w:t>
            </w:r>
          </w:p>
        </w:tc>
        <w:tc>
          <w:tcPr>
            <w:tcW w:w="959" w:type="dxa"/>
            <w:tcBorders>
              <w:top w:val="nil"/>
              <w:left w:val="nil"/>
              <w:bottom w:val="single" w:sz="8" w:space="0" w:color="000000"/>
              <w:right w:val="single" w:sz="8" w:space="0" w:color="000000"/>
            </w:tcBorders>
            <w:shd w:val="clear" w:color="auto" w:fill="auto"/>
            <w:vAlign w:val="center"/>
            <w:hideMark/>
          </w:tcPr>
          <w:p w14:paraId="0F20E90A"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-5.5</w:t>
            </w:r>
          </w:p>
        </w:tc>
        <w:tc>
          <w:tcPr>
            <w:tcW w:w="967" w:type="dxa"/>
            <w:tcBorders>
              <w:top w:val="nil"/>
              <w:left w:val="nil"/>
              <w:bottom w:val="single" w:sz="8" w:space="0" w:color="000000"/>
              <w:right w:val="single" w:sz="8" w:space="0" w:color="000000"/>
            </w:tcBorders>
            <w:shd w:val="clear" w:color="auto" w:fill="auto"/>
            <w:vAlign w:val="center"/>
            <w:hideMark/>
          </w:tcPr>
          <w:p w14:paraId="7C98DED9"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-34.2</w:t>
            </w:r>
          </w:p>
        </w:tc>
        <w:tc>
          <w:tcPr>
            <w:tcW w:w="960" w:type="dxa"/>
            <w:tcBorders>
              <w:top w:val="nil"/>
              <w:left w:val="nil"/>
              <w:bottom w:val="single" w:sz="8" w:space="0" w:color="000000"/>
              <w:right w:val="single" w:sz="8" w:space="0" w:color="000000"/>
            </w:tcBorders>
            <w:shd w:val="clear" w:color="auto" w:fill="auto"/>
            <w:vAlign w:val="center"/>
            <w:hideMark/>
          </w:tcPr>
          <w:p w14:paraId="0FAA3035"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-124.4</w:t>
            </w:r>
          </w:p>
        </w:tc>
        <w:tc>
          <w:tcPr>
            <w:tcW w:w="977" w:type="dxa"/>
            <w:tcBorders>
              <w:top w:val="nil"/>
              <w:left w:val="nil"/>
              <w:bottom w:val="single" w:sz="8" w:space="0" w:color="000000"/>
              <w:right w:val="nil"/>
            </w:tcBorders>
            <w:shd w:val="clear" w:color="auto" w:fill="auto"/>
            <w:vAlign w:val="center"/>
            <w:hideMark/>
          </w:tcPr>
          <w:p w14:paraId="0F082105"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100.9</w:t>
            </w:r>
          </w:p>
        </w:tc>
        <w:tc>
          <w:tcPr>
            <w:tcW w:w="948" w:type="dxa"/>
            <w:tcBorders>
              <w:top w:val="nil"/>
              <w:left w:val="single" w:sz="8" w:space="0" w:color="000000"/>
              <w:bottom w:val="single" w:sz="8" w:space="0" w:color="000000"/>
              <w:right w:val="single" w:sz="8" w:space="0" w:color="000000"/>
            </w:tcBorders>
            <w:shd w:val="clear" w:color="auto" w:fill="auto"/>
            <w:vAlign w:val="center"/>
            <w:hideMark/>
          </w:tcPr>
          <w:p w14:paraId="45E78665"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67.6</w:t>
            </w:r>
          </w:p>
        </w:tc>
      </w:tr>
      <w:tr w:rsidR="00CE79DD" w:rsidRPr="00CE79DD" w14:paraId="4B91316A" w14:textId="77777777" w:rsidTr="00CE79DD">
        <w:trPr>
          <w:trHeight w:val="300"/>
        </w:trPr>
        <w:tc>
          <w:tcPr>
            <w:tcW w:w="949" w:type="dxa"/>
            <w:tcBorders>
              <w:top w:val="nil"/>
              <w:left w:val="single" w:sz="8" w:space="0" w:color="000000"/>
              <w:bottom w:val="single" w:sz="8" w:space="0" w:color="000000"/>
              <w:right w:val="single" w:sz="8" w:space="0" w:color="000000"/>
            </w:tcBorders>
            <w:shd w:val="clear" w:color="auto" w:fill="auto"/>
            <w:vAlign w:val="center"/>
            <w:hideMark/>
          </w:tcPr>
          <w:p w14:paraId="688C1C81"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4</w:t>
            </w:r>
          </w:p>
        </w:tc>
        <w:tc>
          <w:tcPr>
            <w:tcW w:w="960" w:type="dxa"/>
            <w:tcBorders>
              <w:top w:val="nil"/>
              <w:left w:val="nil"/>
              <w:bottom w:val="single" w:sz="8" w:space="0" w:color="000000"/>
              <w:right w:val="single" w:sz="8" w:space="0" w:color="000000"/>
            </w:tcBorders>
            <w:shd w:val="clear" w:color="auto" w:fill="auto"/>
            <w:vAlign w:val="center"/>
            <w:hideMark/>
          </w:tcPr>
          <w:p w14:paraId="622E70E1"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402</w:t>
            </w:r>
          </w:p>
        </w:tc>
        <w:tc>
          <w:tcPr>
            <w:tcW w:w="959" w:type="dxa"/>
            <w:tcBorders>
              <w:top w:val="nil"/>
              <w:left w:val="nil"/>
              <w:bottom w:val="single" w:sz="8" w:space="0" w:color="000000"/>
              <w:right w:val="single" w:sz="8" w:space="0" w:color="000000"/>
            </w:tcBorders>
            <w:shd w:val="clear" w:color="auto" w:fill="auto"/>
            <w:vAlign w:val="center"/>
            <w:hideMark/>
          </w:tcPr>
          <w:p w14:paraId="2AAD56C9"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0</w:t>
            </w:r>
          </w:p>
        </w:tc>
        <w:tc>
          <w:tcPr>
            <w:tcW w:w="967" w:type="dxa"/>
            <w:tcBorders>
              <w:top w:val="nil"/>
              <w:left w:val="nil"/>
              <w:bottom w:val="single" w:sz="8" w:space="0" w:color="000000"/>
              <w:right w:val="single" w:sz="8" w:space="0" w:color="000000"/>
            </w:tcBorders>
            <w:shd w:val="clear" w:color="auto" w:fill="auto"/>
            <w:vAlign w:val="center"/>
            <w:hideMark/>
          </w:tcPr>
          <w:p w14:paraId="56E717D6"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-5.9</w:t>
            </w:r>
          </w:p>
        </w:tc>
        <w:tc>
          <w:tcPr>
            <w:tcW w:w="960" w:type="dxa"/>
            <w:tcBorders>
              <w:top w:val="nil"/>
              <w:left w:val="nil"/>
              <w:bottom w:val="single" w:sz="8" w:space="0" w:color="000000"/>
              <w:right w:val="single" w:sz="8" w:space="0" w:color="000000"/>
            </w:tcBorders>
            <w:shd w:val="clear" w:color="auto" w:fill="auto"/>
            <w:vAlign w:val="center"/>
            <w:hideMark/>
          </w:tcPr>
          <w:p w14:paraId="7A8A5D22"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171.2</w:t>
            </w:r>
          </w:p>
        </w:tc>
        <w:tc>
          <w:tcPr>
            <w:tcW w:w="977" w:type="dxa"/>
            <w:tcBorders>
              <w:top w:val="nil"/>
              <w:left w:val="nil"/>
              <w:bottom w:val="single" w:sz="8" w:space="0" w:color="000000"/>
              <w:right w:val="nil"/>
            </w:tcBorders>
            <w:shd w:val="clear" w:color="auto" w:fill="auto"/>
            <w:vAlign w:val="center"/>
            <w:hideMark/>
          </w:tcPr>
          <w:p w14:paraId="2923CCE0"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99.2</w:t>
            </w:r>
          </w:p>
        </w:tc>
        <w:tc>
          <w:tcPr>
            <w:tcW w:w="948" w:type="dxa"/>
            <w:tcBorders>
              <w:top w:val="nil"/>
              <w:left w:val="single" w:sz="8" w:space="0" w:color="000000"/>
              <w:bottom w:val="single" w:sz="8" w:space="0" w:color="000000"/>
              <w:right w:val="single" w:sz="8" w:space="0" w:color="000000"/>
            </w:tcBorders>
            <w:shd w:val="clear" w:color="auto" w:fill="auto"/>
            <w:vAlign w:val="center"/>
            <w:hideMark/>
          </w:tcPr>
          <w:p w14:paraId="5D777A06"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76.6</w:t>
            </w:r>
          </w:p>
        </w:tc>
      </w:tr>
      <w:tr w:rsidR="00CE79DD" w:rsidRPr="00CE79DD" w14:paraId="1A446EDD" w14:textId="77777777" w:rsidTr="00CE79DD">
        <w:trPr>
          <w:trHeight w:val="300"/>
        </w:trPr>
        <w:tc>
          <w:tcPr>
            <w:tcW w:w="949" w:type="dxa"/>
            <w:tcBorders>
              <w:top w:val="nil"/>
              <w:left w:val="single" w:sz="8" w:space="0" w:color="000000"/>
              <w:bottom w:val="single" w:sz="8" w:space="0" w:color="000000"/>
              <w:right w:val="single" w:sz="8" w:space="0" w:color="000000"/>
            </w:tcBorders>
            <w:shd w:val="clear" w:color="auto" w:fill="auto"/>
            <w:vAlign w:val="center"/>
            <w:hideMark/>
          </w:tcPr>
          <w:p w14:paraId="1C21854E"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5</w:t>
            </w:r>
          </w:p>
        </w:tc>
        <w:tc>
          <w:tcPr>
            <w:tcW w:w="960" w:type="dxa"/>
            <w:tcBorders>
              <w:top w:val="nil"/>
              <w:left w:val="nil"/>
              <w:bottom w:val="single" w:sz="8" w:space="0" w:color="000000"/>
              <w:right w:val="single" w:sz="8" w:space="0" w:color="000000"/>
            </w:tcBorders>
            <w:shd w:val="clear" w:color="auto" w:fill="auto"/>
            <w:vAlign w:val="center"/>
            <w:hideMark/>
          </w:tcPr>
          <w:p w14:paraId="4D03B3FD"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416</w:t>
            </w:r>
          </w:p>
        </w:tc>
        <w:tc>
          <w:tcPr>
            <w:tcW w:w="959" w:type="dxa"/>
            <w:tcBorders>
              <w:top w:val="nil"/>
              <w:left w:val="nil"/>
              <w:bottom w:val="single" w:sz="8" w:space="0" w:color="000000"/>
              <w:right w:val="single" w:sz="8" w:space="0" w:color="000000"/>
            </w:tcBorders>
            <w:shd w:val="clear" w:color="auto" w:fill="auto"/>
            <w:vAlign w:val="center"/>
            <w:hideMark/>
          </w:tcPr>
          <w:p w14:paraId="221CC2A9"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-10.4</w:t>
            </w:r>
          </w:p>
        </w:tc>
        <w:tc>
          <w:tcPr>
            <w:tcW w:w="967" w:type="dxa"/>
            <w:tcBorders>
              <w:top w:val="nil"/>
              <w:left w:val="nil"/>
              <w:bottom w:val="single" w:sz="8" w:space="0" w:color="000000"/>
              <w:right w:val="single" w:sz="8" w:space="0" w:color="000000"/>
            </w:tcBorders>
            <w:shd w:val="clear" w:color="auto" w:fill="auto"/>
            <w:vAlign w:val="center"/>
            <w:hideMark/>
          </w:tcPr>
          <w:p w14:paraId="44648764"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44.2</w:t>
            </w:r>
          </w:p>
        </w:tc>
        <w:tc>
          <w:tcPr>
            <w:tcW w:w="960" w:type="dxa"/>
            <w:tcBorders>
              <w:top w:val="nil"/>
              <w:left w:val="nil"/>
              <w:bottom w:val="single" w:sz="8" w:space="0" w:color="000000"/>
              <w:right w:val="single" w:sz="8" w:space="0" w:color="000000"/>
            </w:tcBorders>
            <w:shd w:val="clear" w:color="auto" w:fill="auto"/>
            <w:vAlign w:val="center"/>
            <w:hideMark/>
          </w:tcPr>
          <w:p w14:paraId="5FAAD16E"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51.9</w:t>
            </w:r>
          </w:p>
        </w:tc>
        <w:tc>
          <w:tcPr>
            <w:tcW w:w="977" w:type="dxa"/>
            <w:tcBorders>
              <w:top w:val="nil"/>
              <w:left w:val="nil"/>
              <w:bottom w:val="single" w:sz="8" w:space="0" w:color="000000"/>
              <w:right w:val="nil"/>
            </w:tcBorders>
            <w:shd w:val="clear" w:color="auto" w:fill="auto"/>
            <w:vAlign w:val="center"/>
            <w:hideMark/>
          </w:tcPr>
          <w:p w14:paraId="37315B74"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106.4</w:t>
            </w:r>
          </w:p>
        </w:tc>
        <w:tc>
          <w:tcPr>
            <w:tcW w:w="948" w:type="dxa"/>
            <w:tcBorders>
              <w:top w:val="nil"/>
              <w:left w:val="single" w:sz="8" w:space="0" w:color="000000"/>
              <w:bottom w:val="single" w:sz="8" w:space="0" w:color="000000"/>
              <w:right w:val="single" w:sz="8" w:space="0" w:color="000000"/>
            </w:tcBorders>
            <w:shd w:val="clear" w:color="auto" w:fill="auto"/>
            <w:vAlign w:val="center"/>
            <w:hideMark/>
          </w:tcPr>
          <w:p w14:paraId="7B8E3998"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62.8</w:t>
            </w:r>
          </w:p>
        </w:tc>
      </w:tr>
      <w:tr w:rsidR="00CE79DD" w:rsidRPr="00CE79DD" w14:paraId="78022C5B" w14:textId="77777777" w:rsidTr="00CE79DD">
        <w:trPr>
          <w:trHeight w:val="300"/>
        </w:trPr>
        <w:tc>
          <w:tcPr>
            <w:tcW w:w="949" w:type="dxa"/>
            <w:tcBorders>
              <w:top w:val="nil"/>
              <w:left w:val="single" w:sz="8" w:space="0" w:color="000000"/>
              <w:bottom w:val="single" w:sz="8" w:space="0" w:color="000000"/>
              <w:right w:val="single" w:sz="8" w:space="0" w:color="000000"/>
            </w:tcBorders>
            <w:shd w:val="clear" w:color="auto" w:fill="auto"/>
            <w:vAlign w:val="center"/>
            <w:hideMark/>
          </w:tcPr>
          <w:p w14:paraId="4E5DC477"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6</w:t>
            </w:r>
          </w:p>
        </w:tc>
        <w:tc>
          <w:tcPr>
            <w:tcW w:w="960" w:type="dxa"/>
            <w:tcBorders>
              <w:top w:val="nil"/>
              <w:left w:val="nil"/>
              <w:bottom w:val="single" w:sz="8" w:space="0" w:color="000000"/>
              <w:right w:val="single" w:sz="8" w:space="0" w:color="000000"/>
            </w:tcBorders>
            <w:shd w:val="clear" w:color="auto" w:fill="auto"/>
            <w:vAlign w:val="center"/>
            <w:hideMark/>
          </w:tcPr>
          <w:p w14:paraId="7E46DB33"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502</w:t>
            </w:r>
          </w:p>
        </w:tc>
        <w:tc>
          <w:tcPr>
            <w:tcW w:w="959" w:type="dxa"/>
            <w:tcBorders>
              <w:top w:val="nil"/>
              <w:left w:val="nil"/>
              <w:bottom w:val="single" w:sz="8" w:space="0" w:color="000000"/>
              <w:right w:val="single" w:sz="8" w:space="0" w:color="000000"/>
            </w:tcBorders>
            <w:shd w:val="clear" w:color="auto" w:fill="auto"/>
            <w:vAlign w:val="center"/>
            <w:hideMark/>
          </w:tcPr>
          <w:p w14:paraId="7F5428C9"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-10.1</w:t>
            </w:r>
          </w:p>
        </w:tc>
        <w:tc>
          <w:tcPr>
            <w:tcW w:w="967" w:type="dxa"/>
            <w:tcBorders>
              <w:top w:val="nil"/>
              <w:left w:val="nil"/>
              <w:bottom w:val="single" w:sz="8" w:space="0" w:color="000000"/>
              <w:right w:val="single" w:sz="8" w:space="0" w:color="000000"/>
            </w:tcBorders>
            <w:shd w:val="clear" w:color="auto" w:fill="auto"/>
            <w:vAlign w:val="center"/>
            <w:hideMark/>
          </w:tcPr>
          <w:p w14:paraId="5AADB190"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-50.5</w:t>
            </w:r>
          </w:p>
        </w:tc>
        <w:tc>
          <w:tcPr>
            <w:tcW w:w="960" w:type="dxa"/>
            <w:tcBorders>
              <w:top w:val="nil"/>
              <w:left w:val="nil"/>
              <w:bottom w:val="single" w:sz="8" w:space="0" w:color="000000"/>
              <w:right w:val="single" w:sz="8" w:space="0" w:color="000000"/>
            </w:tcBorders>
            <w:shd w:val="clear" w:color="auto" w:fill="auto"/>
            <w:vAlign w:val="center"/>
            <w:hideMark/>
          </w:tcPr>
          <w:p w14:paraId="5481B59B"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63.4</w:t>
            </w:r>
          </w:p>
        </w:tc>
        <w:tc>
          <w:tcPr>
            <w:tcW w:w="977" w:type="dxa"/>
            <w:tcBorders>
              <w:top w:val="nil"/>
              <w:left w:val="nil"/>
              <w:bottom w:val="single" w:sz="8" w:space="0" w:color="000000"/>
              <w:right w:val="nil"/>
            </w:tcBorders>
            <w:shd w:val="clear" w:color="auto" w:fill="auto"/>
            <w:vAlign w:val="center"/>
            <w:hideMark/>
          </w:tcPr>
          <w:p w14:paraId="0F20E26A"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94.5</w:t>
            </w:r>
          </w:p>
        </w:tc>
        <w:tc>
          <w:tcPr>
            <w:tcW w:w="948" w:type="dxa"/>
            <w:tcBorders>
              <w:top w:val="nil"/>
              <w:left w:val="single" w:sz="8" w:space="0" w:color="000000"/>
              <w:bottom w:val="single" w:sz="8" w:space="0" w:color="000000"/>
              <w:right w:val="single" w:sz="8" w:space="0" w:color="000000"/>
            </w:tcBorders>
            <w:shd w:val="clear" w:color="auto" w:fill="auto"/>
            <w:vAlign w:val="center"/>
            <w:hideMark/>
          </w:tcPr>
          <w:p w14:paraId="7B9AAD95"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56.6</w:t>
            </w:r>
          </w:p>
        </w:tc>
      </w:tr>
      <w:tr w:rsidR="00CE79DD" w:rsidRPr="00CE79DD" w14:paraId="22FEBDB7" w14:textId="77777777" w:rsidTr="00CE79DD">
        <w:trPr>
          <w:trHeight w:val="300"/>
        </w:trPr>
        <w:tc>
          <w:tcPr>
            <w:tcW w:w="949" w:type="dxa"/>
            <w:tcBorders>
              <w:top w:val="nil"/>
              <w:left w:val="single" w:sz="8" w:space="0" w:color="000000"/>
              <w:bottom w:val="single" w:sz="8" w:space="0" w:color="000000"/>
              <w:right w:val="single" w:sz="8" w:space="0" w:color="000000"/>
            </w:tcBorders>
            <w:shd w:val="clear" w:color="auto" w:fill="auto"/>
            <w:vAlign w:val="center"/>
            <w:hideMark/>
          </w:tcPr>
          <w:p w14:paraId="066C8963"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7</w:t>
            </w:r>
          </w:p>
        </w:tc>
        <w:tc>
          <w:tcPr>
            <w:tcW w:w="960" w:type="dxa"/>
            <w:tcBorders>
              <w:top w:val="nil"/>
              <w:left w:val="nil"/>
              <w:bottom w:val="single" w:sz="8" w:space="0" w:color="000000"/>
              <w:right w:val="single" w:sz="8" w:space="0" w:color="000000"/>
            </w:tcBorders>
            <w:shd w:val="clear" w:color="auto" w:fill="auto"/>
            <w:vAlign w:val="center"/>
            <w:hideMark/>
          </w:tcPr>
          <w:p w14:paraId="0CDF44DA"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518</w:t>
            </w:r>
          </w:p>
        </w:tc>
        <w:tc>
          <w:tcPr>
            <w:tcW w:w="959" w:type="dxa"/>
            <w:tcBorders>
              <w:top w:val="nil"/>
              <w:left w:val="nil"/>
              <w:bottom w:val="single" w:sz="8" w:space="0" w:color="000000"/>
              <w:right w:val="single" w:sz="8" w:space="0" w:color="000000"/>
            </w:tcBorders>
            <w:shd w:val="clear" w:color="000000" w:fill="FFFFFF"/>
            <w:vAlign w:val="center"/>
            <w:hideMark/>
          </w:tcPr>
          <w:p w14:paraId="6C612746"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-13.7</w:t>
            </w:r>
          </w:p>
        </w:tc>
        <w:tc>
          <w:tcPr>
            <w:tcW w:w="967" w:type="dxa"/>
            <w:tcBorders>
              <w:top w:val="nil"/>
              <w:left w:val="nil"/>
              <w:bottom w:val="single" w:sz="8" w:space="0" w:color="000000"/>
              <w:right w:val="single" w:sz="8" w:space="0" w:color="000000"/>
            </w:tcBorders>
            <w:shd w:val="clear" w:color="000000" w:fill="FFFFFF"/>
            <w:vAlign w:val="center"/>
            <w:hideMark/>
          </w:tcPr>
          <w:p w14:paraId="662C9E97"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49.1</w:t>
            </w:r>
          </w:p>
        </w:tc>
        <w:tc>
          <w:tcPr>
            <w:tcW w:w="960" w:type="dxa"/>
            <w:tcBorders>
              <w:top w:val="nil"/>
              <w:left w:val="nil"/>
              <w:bottom w:val="single" w:sz="8" w:space="0" w:color="000000"/>
              <w:right w:val="single" w:sz="8" w:space="0" w:color="000000"/>
            </w:tcBorders>
            <w:shd w:val="clear" w:color="000000" w:fill="FFFFFF"/>
            <w:vAlign w:val="center"/>
            <w:hideMark/>
          </w:tcPr>
          <w:p w14:paraId="58CCF1ED"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-42.1</w:t>
            </w:r>
          </w:p>
        </w:tc>
        <w:tc>
          <w:tcPr>
            <w:tcW w:w="977" w:type="dxa"/>
            <w:tcBorders>
              <w:top w:val="nil"/>
              <w:left w:val="nil"/>
              <w:bottom w:val="single" w:sz="8" w:space="0" w:color="000000"/>
              <w:right w:val="nil"/>
            </w:tcBorders>
            <w:shd w:val="clear" w:color="000000" w:fill="FFFFFF"/>
            <w:vAlign w:val="center"/>
            <w:hideMark/>
          </w:tcPr>
          <w:p w14:paraId="496A0097"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107.5</w:t>
            </w:r>
          </w:p>
        </w:tc>
        <w:tc>
          <w:tcPr>
            <w:tcW w:w="948" w:type="dxa"/>
            <w:tcBorders>
              <w:top w:val="nil"/>
              <w:left w:val="single" w:sz="8" w:space="0" w:color="000000"/>
              <w:bottom w:val="single" w:sz="8" w:space="0" w:color="000000"/>
              <w:right w:val="single" w:sz="8" w:space="0" w:color="000000"/>
            </w:tcBorders>
            <w:shd w:val="clear" w:color="000000" w:fill="FFFFFF"/>
            <w:vAlign w:val="center"/>
            <w:hideMark/>
          </w:tcPr>
          <w:p w14:paraId="02A5857D"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69.8</w:t>
            </w:r>
          </w:p>
        </w:tc>
      </w:tr>
      <w:tr w:rsidR="00CE79DD" w:rsidRPr="00CE79DD" w14:paraId="7CFE6068" w14:textId="77777777" w:rsidTr="00CE79DD">
        <w:trPr>
          <w:trHeight w:val="300"/>
        </w:trPr>
        <w:tc>
          <w:tcPr>
            <w:tcW w:w="949" w:type="dxa"/>
            <w:tcBorders>
              <w:top w:val="nil"/>
              <w:left w:val="single" w:sz="8" w:space="0" w:color="000000"/>
              <w:bottom w:val="single" w:sz="8" w:space="0" w:color="000000"/>
              <w:right w:val="single" w:sz="8" w:space="0" w:color="000000"/>
            </w:tcBorders>
            <w:shd w:val="clear" w:color="auto" w:fill="auto"/>
            <w:vAlign w:val="center"/>
            <w:hideMark/>
          </w:tcPr>
          <w:p w14:paraId="21C0DCE4"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8</w:t>
            </w:r>
          </w:p>
        </w:tc>
        <w:tc>
          <w:tcPr>
            <w:tcW w:w="960" w:type="dxa"/>
            <w:tcBorders>
              <w:top w:val="nil"/>
              <w:left w:val="nil"/>
              <w:bottom w:val="single" w:sz="8" w:space="0" w:color="000000"/>
              <w:right w:val="single" w:sz="8" w:space="0" w:color="000000"/>
            </w:tcBorders>
            <w:shd w:val="clear" w:color="auto" w:fill="auto"/>
            <w:vAlign w:val="center"/>
            <w:hideMark/>
          </w:tcPr>
          <w:p w14:paraId="7EE6E546"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776</w:t>
            </w:r>
          </w:p>
        </w:tc>
        <w:tc>
          <w:tcPr>
            <w:tcW w:w="959" w:type="dxa"/>
            <w:tcBorders>
              <w:top w:val="nil"/>
              <w:left w:val="nil"/>
              <w:bottom w:val="single" w:sz="8" w:space="0" w:color="000000"/>
              <w:right w:val="single" w:sz="8" w:space="0" w:color="000000"/>
            </w:tcBorders>
            <w:shd w:val="clear" w:color="auto" w:fill="auto"/>
            <w:vAlign w:val="center"/>
            <w:hideMark/>
          </w:tcPr>
          <w:p w14:paraId="7AF6B572"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-8.1</w:t>
            </w:r>
          </w:p>
        </w:tc>
        <w:tc>
          <w:tcPr>
            <w:tcW w:w="967" w:type="dxa"/>
            <w:tcBorders>
              <w:top w:val="nil"/>
              <w:left w:val="nil"/>
              <w:bottom w:val="single" w:sz="8" w:space="0" w:color="000000"/>
              <w:right w:val="single" w:sz="8" w:space="0" w:color="000000"/>
            </w:tcBorders>
            <w:shd w:val="clear" w:color="auto" w:fill="auto"/>
            <w:vAlign w:val="center"/>
            <w:hideMark/>
          </w:tcPr>
          <w:p w14:paraId="659BE2E7"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-44.2</w:t>
            </w:r>
          </w:p>
        </w:tc>
        <w:tc>
          <w:tcPr>
            <w:tcW w:w="960" w:type="dxa"/>
            <w:tcBorders>
              <w:top w:val="nil"/>
              <w:left w:val="nil"/>
              <w:bottom w:val="single" w:sz="8" w:space="0" w:color="000000"/>
              <w:right w:val="single" w:sz="8" w:space="0" w:color="000000"/>
            </w:tcBorders>
            <w:shd w:val="clear" w:color="auto" w:fill="auto"/>
            <w:vAlign w:val="center"/>
            <w:hideMark/>
          </w:tcPr>
          <w:p w14:paraId="285CA7F0"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65.1</w:t>
            </w:r>
          </w:p>
        </w:tc>
        <w:tc>
          <w:tcPr>
            <w:tcW w:w="977" w:type="dxa"/>
            <w:tcBorders>
              <w:top w:val="nil"/>
              <w:left w:val="nil"/>
              <w:bottom w:val="single" w:sz="8" w:space="0" w:color="000000"/>
              <w:right w:val="nil"/>
            </w:tcBorders>
            <w:shd w:val="clear" w:color="auto" w:fill="auto"/>
            <w:vAlign w:val="center"/>
            <w:hideMark/>
          </w:tcPr>
          <w:p w14:paraId="05A36ADF"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104.6</w:t>
            </w:r>
          </w:p>
        </w:tc>
        <w:tc>
          <w:tcPr>
            <w:tcW w:w="948" w:type="dxa"/>
            <w:tcBorders>
              <w:top w:val="nil"/>
              <w:left w:val="single" w:sz="8" w:space="0" w:color="000000"/>
              <w:bottom w:val="single" w:sz="8" w:space="0" w:color="000000"/>
              <w:right w:val="single" w:sz="8" w:space="0" w:color="000000"/>
            </w:tcBorders>
            <w:shd w:val="clear" w:color="auto" w:fill="auto"/>
            <w:vAlign w:val="center"/>
            <w:hideMark/>
          </w:tcPr>
          <w:p w14:paraId="6947A7D4"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103.4</w:t>
            </w:r>
          </w:p>
        </w:tc>
      </w:tr>
      <w:tr w:rsidR="00CE79DD" w:rsidRPr="00CE79DD" w14:paraId="6E0640A8" w14:textId="77777777" w:rsidTr="00CE79DD">
        <w:trPr>
          <w:trHeight w:val="300"/>
        </w:trPr>
        <w:tc>
          <w:tcPr>
            <w:tcW w:w="949" w:type="dxa"/>
            <w:tcBorders>
              <w:top w:val="nil"/>
              <w:left w:val="single" w:sz="8" w:space="0" w:color="000000"/>
              <w:bottom w:val="single" w:sz="8" w:space="0" w:color="000000"/>
              <w:right w:val="single" w:sz="8" w:space="0" w:color="000000"/>
            </w:tcBorders>
            <w:shd w:val="clear" w:color="auto" w:fill="auto"/>
            <w:vAlign w:val="center"/>
            <w:hideMark/>
          </w:tcPr>
          <w:p w14:paraId="45C5614E"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9</w:t>
            </w:r>
          </w:p>
        </w:tc>
        <w:tc>
          <w:tcPr>
            <w:tcW w:w="960" w:type="dxa"/>
            <w:tcBorders>
              <w:top w:val="nil"/>
              <w:left w:val="nil"/>
              <w:bottom w:val="single" w:sz="8" w:space="0" w:color="000000"/>
              <w:right w:val="single" w:sz="8" w:space="0" w:color="000000"/>
            </w:tcBorders>
            <w:shd w:val="clear" w:color="auto" w:fill="auto"/>
            <w:vAlign w:val="center"/>
            <w:hideMark/>
          </w:tcPr>
          <w:p w14:paraId="4032B9FD"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826</w:t>
            </w:r>
          </w:p>
        </w:tc>
        <w:tc>
          <w:tcPr>
            <w:tcW w:w="959" w:type="dxa"/>
            <w:tcBorders>
              <w:top w:val="nil"/>
              <w:left w:val="nil"/>
              <w:bottom w:val="nil"/>
              <w:right w:val="single" w:sz="8" w:space="0" w:color="000000"/>
            </w:tcBorders>
            <w:shd w:val="clear" w:color="auto" w:fill="auto"/>
            <w:vAlign w:val="center"/>
            <w:hideMark/>
          </w:tcPr>
          <w:p w14:paraId="7515F1C7"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-9.8</w:t>
            </w:r>
          </w:p>
        </w:tc>
        <w:tc>
          <w:tcPr>
            <w:tcW w:w="967" w:type="dxa"/>
            <w:tcBorders>
              <w:top w:val="nil"/>
              <w:left w:val="nil"/>
              <w:bottom w:val="single" w:sz="8" w:space="0" w:color="000000"/>
              <w:right w:val="single" w:sz="8" w:space="0" w:color="000000"/>
            </w:tcBorders>
            <w:shd w:val="clear" w:color="auto" w:fill="auto"/>
            <w:vAlign w:val="center"/>
            <w:hideMark/>
          </w:tcPr>
          <w:p w14:paraId="65E95B72"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-50.4</w:t>
            </w:r>
          </w:p>
        </w:tc>
        <w:tc>
          <w:tcPr>
            <w:tcW w:w="960" w:type="dxa"/>
            <w:tcBorders>
              <w:top w:val="nil"/>
              <w:left w:val="nil"/>
              <w:bottom w:val="single" w:sz="8" w:space="0" w:color="000000"/>
              <w:right w:val="single" w:sz="8" w:space="0" w:color="000000"/>
            </w:tcBorders>
            <w:shd w:val="clear" w:color="auto" w:fill="auto"/>
            <w:vAlign w:val="center"/>
            <w:hideMark/>
          </w:tcPr>
          <w:p w14:paraId="446623DE"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-63.5</w:t>
            </w:r>
          </w:p>
        </w:tc>
        <w:tc>
          <w:tcPr>
            <w:tcW w:w="977" w:type="dxa"/>
            <w:tcBorders>
              <w:top w:val="nil"/>
              <w:left w:val="nil"/>
              <w:bottom w:val="single" w:sz="8" w:space="0" w:color="000000"/>
              <w:right w:val="nil"/>
            </w:tcBorders>
            <w:shd w:val="clear" w:color="auto" w:fill="auto"/>
            <w:vAlign w:val="center"/>
            <w:hideMark/>
          </w:tcPr>
          <w:p w14:paraId="1D7AD45E"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105.2</w:t>
            </w:r>
          </w:p>
        </w:tc>
        <w:tc>
          <w:tcPr>
            <w:tcW w:w="948" w:type="dxa"/>
            <w:tcBorders>
              <w:top w:val="nil"/>
              <w:left w:val="single" w:sz="8" w:space="0" w:color="000000"/>
              <w:bottom w:val="single" w:sz="8" w:space="0" w:color="000000"/>
              <w:right w:val="single" w:sz="8" w:space="0" w:color="000000"/>
            </w:tcBorders>
            <w:shd w:val="clear" w:color="auto" w:fill="auto"/>
            <w:vAlign w:val="center"/>
            <w:hideMark/>
          </w:tcPr>
          <w:p w14:paraId="0C31D006"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50.1</w:t>
            </w:r>
          </w:p>
        </w:tc>
      </w:tr>
      <w:tr w:rsidR="00CE79DD" w:rsidRPr="00CE79DD" w14:paraId="4F15C2B3" w14:textId="77777777" w:rsidTr="00CE79DD">
        <w:trPr>
          <w:trHeight w:val="300"/>
        </w:trPr>
        <w:tc>
          <w:tcPr>
            <w:tcW w:w="949" w:type="dxa"/>
            <w:tcBorders>
              <w:top w:val="nil"/>
              <w:left w:val="single" w:sz="8" w:space="0" w:color="000000"/>
              <w:bottom w:val="single" w:sz="8" w:space="0" w:color="000000"/>
              <w:right w:val="single" w:sz="8" w:space="0" w:color="000000"/>
            </w:tcBorders>
            <w:shd w:val="clear" w:color="auto" w:fill="auto"/>
            <w:vAlign w:val="center"/>
            <w:hideMark/>
          </w:tcPr>
          <w:p w14:paraId="00EB5C01"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10</w:t>
            </w:r>
          </w:p>
        </w:tc>
        <w:tc>
          <w:tcPr>
            <w:tcW w:w="960" w:type="dxa"/>
            <w:tcBorders>
              <w:top w:val="nil"/>
              <w:left w:val="nil"/>
              <w:bottom w:val="single" w:sz="8" w:space="0" w:color="000000"/>
              <w:right w:val="single" w:sz="8" w:space="0" w:color="000000"/>
            </w:tcBorders>
            <w:shd w:val="clear" w:color="auto" w:fill="auto"/>
            <w:vAlign w:val="center"/>
            <w:hideMark/>
          </w:tcPr>
          <w:p w14:paraId="60354649"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1372</w:t>
            </w:r>
          </w:p>
        </w:tc>
        <w:tc>
          <w:tcPr>
            <w:tcW w:w="959" w:type="dxa"/>
            <w:tcBorders>
              <w:top w:val="single" w:sz="8" w:space="0" w:color="000000"/>
              <w:left w:val="nil"/>
              <w:bottom w:val="single" w:sz="8" w:space="0" w:color="000000"/>
              <w:right w:val="single" w:sz="8" w:space="0" w:color="000000"/>
            </w:tcBorders>
            <w:shd w:val="clear" w:color="000000" w:fill="FFFFFF"/>
            <w:vAlign w:val="center"/>
            <w:hideMark/>
          </w:tcPr>
          <w:p w14:paraId="76D65A00"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-11.7</w:t>
            </w:r>
          </w:p>
        </w:tc>
        <w:tc>
          <w:tcPr>
            <w:tcW w:w="967" w:type="dxa"/>
            <w:tcBorders>
              <w:top w:val="nil"/>
              <w:left w:val="nil"/>
              <w:bottom w:val="single" w:sz="8" w:space="0" w:color="000000"/>
              <w:right w:val="single" w:sz="8" w:space="0" w:color="000000"/>
            </w:tcBorders>
            <w:shd w:val="clear" w:color="000000" w:fill="FFFFFF"/>
            <w:vAlign w:val="center"/>
            <w:hideMark/>
          </w:tcPr>
          <w:p w14:paraId="1847A47E"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-60.2</w:t>
            </w:r>
          </w:p>
        </w:tc>
        <w:tc>
          <w:tcPr>
            <w:tcW w:w="960" w:type="dxa"/>
            <w:tcBorders>
              <w:top w:val="nil"/>
              <w:left w:val="nil"/>
              <w:bottom w:val="single" w:sz="8" w:space="0" w:color="000000"/>
              <w:right w:val="single" w:sz="8" w:space="0" w:color="000000"/>
            </w:tcBorders>
            <w:shd w:val="clear" w:color="000000" w:fill="FFFFFF"/>
            <w:vAlign w:val="center"/>
            <w:hideMark/>
          </w:tcPr>
          <w:p w14:paraId="0F7E3E3B"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79</w:t>
            </w:r>
          </w:p>
        </w:tc>
        <w:tc>
          <w:tcPr>
            <w:tcW w:w="977" w:type="dxa"/>
            <w:tcBorders>
              <w:top w:val="nil"/>
              <w:left w:val="nil"/>
              <w:bottom w:val="single" w:sz="8" w:space="0" w:color="000000"/>
              <w:right w:val="nil"/>
            </w:tcBorders>
            <w:shd w:val="clear" w:color="000000" w:fill="FFFFFF"/>
            <w:vAlign w:val="center"/>
            <w:hideMark/>
          </w:tcPr>
          <w:p w14:paraId="792629B5"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91.7</w:t>
            </w:r>
          </w:p>
        </w:tc>
        <w:tc>
          <w:tcPr>
            <w:tcW w:w="948" w:type="dxa"/>
            <w:tcBorders>
              <w:top w:val="nil"/>
              <w:left w:val="single" w:sz="8" w:space="0" w:color="000000"/>
              <w:bottom w:val="single" w:sz="8" w:space="0" w:color="000000"/>
              <w:right w:val="single" w:sz="8" w:space="0" w:color="000000"/>
            </w:tcBorders>
            <w:shd w:val="clear" w:color="000000" w:fill="FFFFFF"/>
            <w:vAlign w:val="center"/>
            <w:hideMark/>
          </w:tcPr>
          <w:p w14:paraId="481B0182"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51.7</w:t>
            </w:r>
          </w:p>
        </w:tc>
      </w:tr>
      <w:tr w:rsidR="00CE79DD" w:rsidRPr="00CE79DD" w14:paraId="1066603D" w14:textId="77777777" w:rsidTr="00CE79DD">
        <w:trPr>
          <w:trHeight w:val="300"/>
        </w:trPr>
        <w:tc>
          <w:tcPr>
            <w:tcW w:w="949" w:type="dxa"/>
            <w:tcBorders>
              <w:top w:val="nil"/>
              <w:left w:val="single" w:sz="8" w:space="0" w:color="000000"/>
              <w:bottom w:val="single" w:sz="8" w:space="0" w:color="000000"/>
              <w:right w:val="single" w:sz="8" w:space="0" w:color="000000"/>
            </w:tcBorders>
            <w:shd w:val="clear" w:color="auto" w:fill="auto"/>
            <w:vAlign w:val="center"/>
            <w:hideMark/>
          </w:tcPr>
          <w:p w14:paraId="10DB2B24"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11</w:t>
            </w:r>
          </w:p>
        </w:tc>
        <w:tc>
          <w:tcPr>
            <w:tcW w:w="960" w:type="dxa"/>
            <w:tcBorders>
              <w:top w:val="nil"/>
              <w:left w:val="nil"/>
              <w:bottom w:val="single" w:sz="8" w:space="0" w:color="000000"/>
              <w:right w:val="single" w:sz="8" w:space="0" w:color="000000"/>
            </w:tcBorders>
            <w:shd w:val="clear" w:color="auto" w:fill="auto"/>
            <w:vAlign w:val="center"/>
            <w:hideMark/>
          </w:tcPr>
          <w:p w14:paraId="4312BCF3"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1712</w:t>
            </w:r>
          </w:p>
        </w:tc>
        <w:tc>
          <w:tcPr>
            <w:tcW w:w="959" w:type="dxa"/>
            <w:tcBorders>
              <w:top w:val="nil"/>
              <w:left w:val="nil"/>
              <w:bottom w:val="single" w:sz="8" w:space="0" w:color="000000"/>
              <w:right w:val="single" w:sz="8" w:space="0" w:color="000000"/>
            </w:tcBorders>
            <w:shd w:val="clear" w:color="000000" w:fill="FFFFFF"/>
            <w:vAlign w:val="center"/>
            <w:hideMark/>
          </w:tcPr>
          <w:p w14:paraId="40E78AF2"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-16.2</w:t>
            </w:r>
          </w:p>
        </w:tc>
        <w:tc>
          <w:tcPr>
            <w:tcW w:w="967" w:type="dxa"/>
            <w:tcBorders>
              <w:top w:val="nil"/>
              <w:left w:val="nil"/>
              <w:bottom w:val="single" w:sz="8" w:space="0" w:color="000000"/>
              <w:right w:val="single" w:sz="8" w:space="0" w:color="000000"/>
            </w:tcBorders>
            <w:shd w:val="clear" w:color="000000" w:fill="FFFFFF"/>
            <w:vAlign w:val="center"/>
            <w:hideMark/>
          </w:tcPr>
          <w:p w14:paraId="0DCA497F"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64.6</w:t>
            </w:r>
          </w:p>
        </w:tc>
        <w:tc>
          <w:tcPr>
            <w:tcW w:w="960" w:type="dxa"/>
            <w:tcBorders>
              <w:top w:val="nil"/>
              <w:left w:val="nil"/>
              <w:bottom w:val="single" w:sz="8" w:space="0" w:color="000000"/>
              <w:right w:val="single" w:sz="8" w:space="0" w:color="000000"/>
            </w:tcBorders>
            <w:shd w:val="clear" w:color="000000" w:fill="FFFFFF"/>
            <w:vAlign w:val="center"/>
            <w:hideMark/>
          </w:tcPr>
          <w:p w14:paraId="24724FFA"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26.3</w:t>
            </w:r>
          </w:p>
        </w:tc>
        <w:tc>
          <w:tcPr>
            <w:tcW w:w="977" w:type="dxa"/>
            <w:tcBorders>
              <w:top w:val="nil"/>
              <w:left w:val="nil"/>
              <w:bottom w:val="single" w:sz="8" w:space="0" w:color="000000"/>
              <w:right w:val="nil"/>
            </w:tcBorders>
            <w:shd w:val="clear" w:color="000000" w:fill="FFFFFF"/>
            <w:vAlign w:val="center"/>
            <w:hideMark/>
          </w:tcPr>
          <w:p w14:paraId="5072DE32"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105.2</w:t>
            </w:r>
          </w:p>
        </w:tc>
        <w:tc>
          <w:tcPr>
            <w:tcW w:w="948" w:type="dxa"/>
            <w:tcBorders>
              <w:top w:val="nil"/>
              <w:left w:val="single" w:sz="8" w:space="0" w:color="000000"/>
              <w:bottom w:val="single" w:sz="8" w:space="0" w:color="000000"/>
              <w:right w:val="single" w:sz="8" w:space="0" w:color="000000"/>
            </w:tcBorders>
            <w:shd w:val="clear" w:color="000000" w:fill="FFFFFF"/>
            <w:vAlign w:val="center"/>
            <w:hideMark/>
          </w:tcPr>
          <w:p w14:paraId="61C2FCBA"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121</w:t>
            </w:r>
          </w:p>
        </w:tc>
      </w:tr>
      <w:tr w:rsidR="00CE79DD" w:rsidRPr="00CE79DD" w14:paraId="73575F14" w14:textId="77777777" w:rsidTr="00CE79DD">
        <w:trPr>
          <w:trHeight w:val="300"/>
        </w:trPr>
        <w:tc>
          <w:tcPr>
            <w:tcW w:w="949" w:type="dxa"/>
            <w:tcBorders>
              <w:top w:val="nil"/>
              <w:left w:val="single" w:sz="8" w:space="0" w:color="000000"/>
              <w:bottom w:val="single" w:sz="8" w:space="0" w:color="000000"/>
              <w:right w:val="single" w:sz="8" w:space="0" w:color="000000"/>
            </w:tcBorders>
            <w:shd w:val="clear" w:color="auto" w:fill="auto"/>
            <w:vAlign w:val="center"/>
            <w:hideMark/>
          </w:tcPr>
          <w:p w14:paraId="4286B085"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12</w:t>
            </w:r>
          </w:p>
        </w:tc>
        <w:tc>
          <w:tcPr>
            <w:tcW w:w="960" w:type="dxa"/>
            <w:tcBorders>
              <w:top w:val="nil"/>
              <w:left w:val="nil"/>
              <w:bottom w:val="single" w:sz="8" w:space="0" w:color="000000"/>
              <w:right w:val="single" w:sz="8" w:space="0" w:color="000000"/>
            </w:tcBorders>
            <w:shd w:val="clear" w:color="auto" w:fill="auto"/>
            <w:vAlign w:val="center"/>
            <w:hideMark/>
          </w:tcPr>
          <w:p w14:paraId="442EA62C"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2906</w:t>
            </w:r>
          </w:p>
        </w:tc>
        <w:tc>
          <w:tcPr>
            <w:tcW w:w="959" w:type="dxa"/>
            <w:tcBorders>
              <w:top w:val="nil"/>
              <w:left w:val="nil"/>
              <w:bottom w:val="single" w:sz="8" w:space="0" w:color="000000"/>
              <w:right w:val="single" w:sz="8" w:space="0" w:color="000000"/>
            </w:tcBorders>
            <w:shd w:val="clear" w:color="000000" w:fill="FFFFFF"/>
            <w:vAlign w:val="center"/>
            <w:hideMark/>
          </w:tcPr>
          <w:p w14:paraId="4CA9C73E"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-16.9</w:t>
            </w:r>
          </w:p>
        </w:tc>
        <w:tc>
          <w:tcPr>
            <w:tcW w:w="967" w:type="dxa"/>
            <w:tcBorders>
              <w:top w:val="nil"/>
              <w:left w:val="nil"/>
              <w:bottom w:val="single" w:sz="8" w:space="0" w:color="000000"/>
              <w:right w:val="single" w:sz="8" w:space="0" w:color="000000"/>
            </w:tcBorders>
            <w:shd w:val="clear" w:color="000000" w:fill="FFFFFF"/>
            <w:vAlign w:val="center"/>
            <w:hideMark/>
          </w:tcPr>
          <w:p w14:paraId="284D6686"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55</w:t>
            </w:r>
          </w:p>
        </w:tc>
        <w:tc>
          <w:tcPr>
            <w:tcW w:w="960" w:type="dxa"/>
            <w:tcBorders>
              <w:top w:val="nil"/>
              <w:left w:val="nil"/>
              <w:bottom w:val="single" w:sz="8" w:space="0" w:color="000000"/>
              <w:right w:val="single" w:sz="8" w:space="0" w:color="000000"/>
            </w:tcBorders>
            <w:shd w:val="clear" w:color="000000" w:fill="FFFFFF"/>
            <w:vAlign w:val="center"/>
            <w:hideMark/>
          </w:tcPr>
          <w:p w14:paraId="3C62E3B8"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-1.6</w:t>
            </w:r>
          </w:p>
        </w:tc>
        <w:tc>
          <w:tcPr>
            <w:tcW w:w="977" w:type="dxa"/>
            <w:tcBorders>
              <w:top w:val="nil"/>
              <w:left w:val="nil"/>
              <w:bottom w:val="single" w:sz="8" w:space="0" w:color="000000"/>
              <w:right w:val="nil"/>
            </w:tcBorders>
            <w:shd w:val="clear" w:color="000000" w:fill="FFFFFF"/>
            <w:vAlign w:val="center"/>
            <w:hideMark/>
          </w:tcPr>
          <w:p w14:paraId="38C6D6CC"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91.8</w:t>
            </w:r>
          </w:p>
        </w:tc>
        <w:tc>
          <w:tcPr>
            <w:tcW w:w="948" w:type="dxa"/>
            <w:tcBorders>
              <w:top w:val="nil"/>
              <w:left w:val="single" w:sz="8" w:space="0" w:color="000000"/>
              <w:bottom w:val="single" w:sz="8" w:space="0" w:color="000000"/>
              <w:right w:val="single" w:sz="8" w:space="0" w:color="000000"/>
            </w:tcBorders>
            <w:shd w:val="clear" w:color="000000" w:fill="FFFFFF"/>
            <w:vAlign w:val="center"/>
            <w:hideMark/>
          </w:tcPr>
          <w:p w14:paraId="3F2B187E" w14:textId="77777777" w:rsidR="00CE79DD" w:rsidRPr="00CE79DD" w:rsidRDefault="00CE79DD" w:rsidP="00CE79DD">
            <w:pPr>
              <w:spacing w:after="0" w:line="240" w:lineRule="auto"/>
              <w:jc w:val="center"/>
              <w:rPr>
                <w:rFonts w:ascii="Times New Roman" w:eastAsia="Times New Roman" w:hAnsi="Times New Roman" w:cs="Times New Roman"/>
                <w:color w:val="000000"/>
              </w:rPr>
            </w:pPr>
            <w:r w:rsidRPr="00CE79DD">
              <w:rPr>
                <w:rFonts w:ascii="Times New Roman" w:eastAsia="Times New Roman" w:hAnsi="Times New Roman" w:cs="Times New Roman"/>
                <w:color w:val="000000"/>
              </w:rPr>
              <w:t>61.6</w:t>
            </w:r>
          </w:p>
        </w:tc>
      </w:tr>
      <w:tr w:rsidR="00CE79DD" w:rsidRPr="00CE79DD" w14:paraId="2B24408A" w14:textId="77777777" w:rsidTr="00CE79DD">
        <w:trPr>
          <w:trHeight w:val="300"/>
        </w:trPr>
        <w:tc>
          <w:tcPr>
            <w:tcW w:w="949" w:type="dxa"/>
            <w:tcBorders>
              <w:top w:val="nil"/>
              <w:left w:val="nil"/>
              <w:bottom w:val="nil"/>
              <w:right w:val="nil"/>
            </w:tcBorders>
            <w:shd w:val="clear" w:color="auto" w:fill="auto"/>
            <w:vAlign w:val="center"/>
            <w:hideMark/>
          </w:tcPr>
          <w:p w14:paraId="79E78324" w14:textId="77777777" w:rsidR="00CE79DD" w:rsidRPr="00CE79DD" w:rsidRDefault="00CE79DD" w:rsidP="00CE79DD">
            <w:pPr>
              <w:spacing w:after="0" w:line="240" w:lineRule="auto"/>
              <w:jc w:val="center"/>
              <w:rPr>
                <w:rFonts w:ascii="Times New Roman" w:eastAsia="Times New Roman" w:hAnsi="Times New Roman" w:cs="Times New Roman"/>
                <w:color w:val="000000"/>
              </w:rPr>
            </w:pPr>
          </w:p>
        </w:tc>
        <w:tc>
          <w:tcPr>
            <w:tcW w:w="960" w:type="dxa"/>
            <w:tcBorders>
              <w:top w:val="nil"/>
              <w:left w:val="nil"/>
              <w:bottom w:val="nil"/>
              <w:right w:val="nil"/>
            </w:tcBorders>
            <w:shd w:val="clear" w:color="auto" w:fill="auto"/>
            <w:noWrap/>
            <w:vAlign w:val="bottom"/>
            <w:hideMark/>
          </w:tcPr>
          <w:p w14:paraId="419EE61A" w14:textId="77777777" w:rsidR="00CE79DD" w:rsidRPr="00CE79DD" w:rsidRDefault="00CE79DD" w:rsidP="00CE79DD">
            <w:pPr>
              <w:spacing w:after="0" w:line="240" w:lineRule="auto"/>
              <w:rPr>
                <w:rFonts w:ascii="Times New Roman" w:eastAsia="Times New Roman" w:hAnsi="Times New Roman" w:cs="Times New Roman"/>
                <w:sz w:val="20"/>
                <w:szCs w:val="20"/>
              </w:rPr>
            </w:pPr>
          </w:p>
        </w:tc>
        <w:tc>
          <w:tcPr>
            <w:tcW w:w="959" w:type="dxa"/>
            <w:tcBorders>
              <w:top w:val="nil"/>
              <w:left w:val="nil"/>
              <w:bottom w:val="nil"/>
              <w:right w:val="nil"/>
            </w:tcBorders>
            <w:shd w:val="clear" w:color="auto" w:fill="auto"/>
            <w:noWrap/>
            <w:vAlign w:val="bottom"/>
            <w:hideMark/>
          </w:tcPr>
          <w:p w14:paraId="07EE4E30" w14:textId="77777777" w:rsidR="00CE79DD" w:rsidRPr="00CE79DD" w:rsidRDefault="00CE79DD" w:rsidP="00CE79DD">
            <w:pPr>
              <w:spacing w:after="0" w:line="240" w:lineRule="auto"/>
              <w:rPr>
                <w:rFonts w:ascii="Times New Roman" w:eastAsia="Times New Roman" w:hAnsi="Times New Roman" w:cs="Times New Roman"/>
                <w:sz w:val="20"/>
                <w:szCs w:val="20"/>
              </w:rPr>
            </w:pPr>
          </w:p>
        </w:tc>
        <w:tc>
          <w:tcPr>
            <w:tcW w:w="967" w:type="dxa"/>
            <w:tcBorders>
              <w:top w:val="nil"/>
              <w:left w:val="nil"/>
              <w:bottom w:val="nil"/>
              <w:right w:val="nil"/>
            </w:tcBorders>
            <w:shd w:val="clear" w:color="auto" w:fill="auto"/>
            <w:noWrap/>
            <w:vAlign w:val="bottom"/>
            <w:hideMark/>
          </w:tcPr>
          <w:p w14:paraId="5C3A39A3" w14:textId="77777777" w:rsidR="00CE79DD" w:rsidRPr="00CE79DD" w:rsidRDefault="00CE79DD" w:rsidP="00CE79DD">
            <w:pPr>
              <w:spacing w:after="0" w:line="240" w:lineRule="auto"/>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14:paraId="40C216E1" w14:textId="77777777" w:rsidR="00CE79DD" w:rsidRPr="00CE79DD" w:rsidRDefault="00CE79DD" w:rsidP="00CE79DD">
            <w:pPr>
              <w:spacing w:after="0" w:line="240" w:lineRule="auto"/>
              <w:rPr>
                <w:rFonts w:ascii="Times New Roman" w:eastAsia="Times New Roman" w:hAnsi="Times New Roman" w:cs="Times New Roman"/>
                <w:sz w:val="20"/>
                <w:szCs w:val="20"/>
              </w:rPr>
            </w:pPr>
          </w:p>
        </w:tc>
        <w:tc>
          <w:tcPr>
            <w:tcW w:w="977" w:type="dxa"/>
            <w:tcBorders>
              <w:top w:val="nil"/>
              <w:left w:val="nil"/>
              <w:bottom w:val="nil"/>
              <w:right w:val="nil"/>
            </w:tcBorders>
            <w:shd w:val="clear" w:color="auto" w:fill="auto"/>
            <w:noWrap/>
            <w:vAlign w:val="bottom"/>
            <w:hideMark/>
          </w:tcPr>
          <w:p w14:paraId="70F48875" w14:textId="77777777" w:rsidR="00CE79DD" w:rsidRPr="00CE79DD" w:rsidRDefault="00CE79DD" w:rsidP="00CE79DD">
            <w:pPr>
              <w:spacing w:after="0" w:line="240" w:lineRule="auto"/>
              <w:rPr>
                <w:rFonts w:ascii="Times New Roman" w:eastAsia="Times New Roman" w:hAnsi="Times New Roman" w:cs="Times New Roman"/>
                <w:sz w:val="20"/>
                <w:szCs w:val="20"/>
              </w:rPr>
            </w:pPr>
          </w:p>
        </w:tc>
        <w:tc>
          <w:tcPr>
            <w:tcW w:w="948" w:type="dxa"/>
            <w:tcBorders>
              <w:top w:val="nil"/>
              <w:left w:val="nil"/>
              <w:bottom w:val="nil"/>
              <w:right w:val="nil"/>
            </w:tcBorders>
            <w:shd w:val="clear" w:color="auto" w:fill="auto"/>
            <w:noWrap/>
            <w:vAlign w:val="bottom"/>
            <w:hideMark/>
          </w:tcPr>
          <w:p w14:paraId="7023DEB9" w14:textId="77777777" w:rsidR="00CE79DD" w:rsidRPr="00CE79DD" w:rsidRDefault="00CE79DD" w:rsidP="00CE79DD">
            <w:pPr>
              <w:spacing w:after="0" w:line="240" w:lineRule="auto"/>
              <w:rPr>
                <w:rFonts w:ascii="Times New Roman" w:eastAsia="Times New Roman" w:hAnsi="Times New Roman" w:cs="Times New Roman"/>
                <w:sz w:val="20"/>
                <w:szCs w:val="20"/>
              </w:rPr>
            </w:pPr>
          </w:p>
        </w:tc>
      </w:tr>
      <w:tr w:rsidR="00CE79DD" w:rsidRPr="00CE79DD" w14:paraId="387A35AE" w14:textId="77777777" w:rsidTr="00CE79DD">
        <w:trPr>
          <w:trHeight w:val="300"/>
        </w:trPr>
        <w:tc>
          <w:tcPr>
            <w:tcW w:w="949" w:type="dxa"/>
            <w:tcBorders>
              <w:top w:val="nil"/>
              <w:left w:val="nil"/>
              <w:bottom w:val="nil"/>
              <w:right w:val="nil"/>
            </w:tcBorders>
            <w:shd w:val="clear" w:color="auto" w:fill="auto"/>
            <w:vAlign w:val="center"/>
            <w:hideMark/>
          </w:tcPr>
          <w:p w14:paraId="28CCC62D" w14:textId="77777777" w:rsidR="00CE79DD" w:rsidRPr="00CE79DD" w:rsidRDefault="00CE79DD" w:rsidP="00CE79DD">
            <w:pPr>
              <w:spacing w:after="0" w:line="240" w:lineRule="auto"/>
              <w:rPr>
                <w:rFonts w:ascii="Times New Roman" w:eastAsia="Times New Roman" w:hAnsi="Times New Roman" w:cs="Times New Roman"/>
                <w:sz w:val="20"/>
                <w:szCs w:val="20"/>
              </w:rPr>
            </w:pPr>
          </w:p>
        </w:tc>
        <w:tc>
          <w:tcPr>
            <w:tcW w:w="96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2DB703B" w14:textId="77777777" w:rsidR="00CE79DD" w:rsidRPr="00CE79DD" w:rsidRDefault="00CE79DD" w:rsidP="00CE79DD">
            <w:pPr>
              <w:spacing w:after="0" w:line="240" w:lineRule="auto"/>
              <w:jc w:val="center"/>
              <w:rPr>
                <w:rFonts w:ascii="Aptos Narrow" w:eastAsia="Times New Roman" w:hAnsi="Aptos Narrow" w:cs="Times New Roman"/>
                <w:color w:val="000000"/>
              </w:rPr>
            </w:pPr>
            <w:r w:rsidRPr="00CE79DD">
              <w:rPr>
                <w:rFonts w:ascii="Aptos Narrow" w:eastAsia="Times New Roman" w:hAnsi="Aptos Narrow" w:cs="Times New Roman"/>
                <w:color w:val="000000"/>
              </w:rPr>
              <w:t>C-ZSD deg</w:t>
            </w:r>
          </w:p>
        </w:tc>
        <w:tc>
          <w:tcPr>
            <w:tcW w:w="959" w:type="dxa"/>
            <w:tcBorders>
              <w:top w:val="single" w:sz="8" w:space="0" w:color="000000"/>
              <w:left w:val="nil"/>
              <w:bottom w:val="single" w:sz="8" w:space="0" w:color="000000"/>
              <w:right w:val="single" w:sz="8" w:space="0" w:color="000000"/>
            </w:tcBorders>
            <w:shd w:val="clear" w:color="auto" w:fill="auto"/>
            <w:noWrap/>
            <w:vAlign w:val="center"/>
            <w:hideMark/>
          </w:tcPr>
          <w:p w14:paraId="476D7700" w14:textId="77777777" w:rsidR="00CE79DD" w:rsidRPr="00CE79DD" w:rsidRDefault="00CE79DD" w:rsidP="00CE79DD">
            <w:pPr>
              <w:spacing w:after="0" w:line="240" w:lineRule="auto"/>
              <w:jc w:val="center"/>
              <w:rPr>
                <w:rFonts w:ascii="Aptos Narrow" w:eastAsia="Times New Roman" w:hAnsi="Aptos Narrow" w:cs="Times New Roman"/>
                <w:color w:val="000000"/>
              </w:rPr>
            </w:pPr>
            <w:r w:rsidRPr="00CE79DD">
              <w:rPr>
                <w:rFonts w:ascii="Aptos Narrow" w:eastAsia="Times New Roman" w:hAnsi="Aptos Narrow" w:cs="Times New Roman"/>
                <w:color w:val="000000"/>
              </w:rPr>
              <w:t>C-ZSA deg</w:t>
            </w:r>
          </w:p>
        </w:tc>
        <w:tc>
          <w:tcPr>
            <w:tcW w:w="967" w:type="dxa"/>
            <w:tcBorders>
              <w:top w:val="single" w:sz="8" w:space="0" w:color="000000"/>
              <w:left w:val="nil"/>
              <w:bottom w:val="single" w:sz="8" w:space="0" w:color="000000"/>
              <w:right w:val="single" w:sz="8" w:space="0" w:color="000000"/>
            </w:tcBorders>
            <w:shd w:val="clear" w:color="auto" w:fill="auto"/>
            <w:noWrap/>
            <w:vAlign w:val="center"/>
            <w:hideMark/>
          </w:tcPr>
          <w:p w14:paraId="4D7B2699" w14:textId="77777777" w:rsidR="00CE79DD" w:rsidRPr="00CE79DD" w:rsidRDefault="00CE79DD" w:rsidP="00CE79DD">
            <w:pPr>
              <w:spacing w:after="0" w:line="240" w:lineRule="auto"/>
              <w:jc w:val="center"/>
              <w:rPr>
                <w:rFonts w:ascii="Aptos Narrow" w:eastAsia="Times New Roman" w:hAnsi="Aptos Narrow" w:cs="Times New Roman"/>
                <w:color w:val="000000"/>
              </w:rPr>
            </w:pPr>
            <w:r w:rsidRPr="00CE79DD">
              <w:rPr>
                <w:rFonts w:ascii="Aptos Narrow" w:eastAsia="Times New Roman" w:hAnsi="Aptos Narrow" w:cs="Times New Roman"/>
                <w:color w:val="000000"/>
              </w:rPr>
              <w:t>C-ASD deg</w:t>
            </w:r>
          </w:p>
        </w:tc>
        <w:tc>
          <w:tcPr>
            <w:tcW w:w="960" w:type="dxa"/>
            <w:tcBorders>
              <w:top w:val="single" w:sz="8" w:space="0" w:color="000000"/>
              <w:left w:val="nil"/>
              <w:bottom w:val="single" w:sz="8" w:space="0" w:color="000000"/>
              <w:right w:val="single" w:sz="8" w:space="0" w:color="000000"/>
            </w:tcBorders>
            <w:shd w:val="clear" w:color="auto" w:fill="auto"/>
            <w:noWrap/>
            <w:vAlign w:val="center"/>
            <w:hideMark/>
          </w:tcPr>
          <w:p w14:paraId="08848F21" w14:textId="77777777" w:rsidR="00CE79DD" w:rsidRPr="00CE79DD" w:rsidRDefault="00CE79DD" w:rsidP="00CE79DD">
            <w:pPr>
              <w:spacing w:after="0" w:line="240" w:lineRule="auto"/>
              <w:jc w:val="center"/>
              <w:rPr>
                <w:rFonts w:ascii="Aptos Narrow" w:eastAsia="Times New Roman" w:hAnsi="Aptos Narrow" w:cs="Times New Roman"/>
                <w:color w:val="000000"/>
              </w:rPr>
            </w:pPr>
            <w:r w:rsidRPr="00CE79DD">
              <w:rPr>
                <w:rFonts w:ascii="Aptos Narrow" w:eastAsia="Times New Roman" w:hAnsi="Aptos Narrow" w:cs="Times New Roman"/>
                <w:color w:val="000000"/>
              </w:rPr>
              <w:t>C-ASA deg</w:t>
            </w:r>
          </w:p>
        </w:tc>
        <w:tc>
          <w:tcPr>
            <w:tcW w:w="977" w:type="dxa"/>
            <w:tcBorders>
              <w:top w:val="single" w:sz="8" w:space="0" w:color="000000"/>
              <w:left w:val="nil"/>
              <w:bottom w:val="single" w:sz="8" w:space="0" w:color="000000"/>
              <w:right w:val="single" w:sz="8" w:space="0" w:color="000000"/>
            </w:tcBorders>
            <w:shd w:val="clear" w:color="auto" w:fill="auto"/>
            <w:noWrap/>
            <w:vAlign w:val="center"/>
            <w:hideMark/>
          </w:tcPr>
          <w:p w14:paraId="6073ACC5" w14:textId="77777777" w:rsidR="00CE79DD" w:rsidRPr="00CE79DD" w:rsidRDefault="00CE79DD" w:rsidP="00CE79DD">
            <w:pPr>
              <w:spacing w:after="0" w:line="240" w:lineRule="auto"/>
              <w:jc w:val="center"/>
              <w:rPr>
                <w:rFonts w:ascii="Aptos Narrow" w:eastAsia="Times New Roman" w:hAnsi="Aptos Narrow" w:cs="Times New Roman"/>
                <w:color w:val="000000"/>
              </w:rPr>
            </w:pPr>
            <w:r w:rsidRPr="00CE79DD">
              <w:rPr>
                <w:rFonts w:ascii="Aptos Narrow" w:eastAsia="Times New Roman" w:hAnsi="Aptos Narrow" w:cs="Times New Roman"/>
                <w:color w:val="000000"/>
                <w:lang w:eastAsia="zh-CN"/>
              </w:rPr>
              <w:t>XPR in [dB]</w:t>
            </w:r>
          </w:p>
        </w:tc>
        <w:tc>
          <w:tcPr>
            <w:tcW w:w="948" w:type="dxa"/>
            <w:tcBorders>
              <w:top w:val="nil"/>
              <w:left w:val="nil"/>
              <w:bottom w:val="nil"/>
              <w:right w:val="nil"/>
            </w:tcBorders>
            <w:shd w:val="clear" w:color="auto" w:fill="auto"/>
            <w:noWrap/>
            <w:vAlign w:val="bottom"/>
            <w:hideMark/>
          </w:tcPr>
          <w:p w14:paraId="50B7DBDB" w14:textId="77777777" w:rsidR="00CE79DD" w:rsidRPr="00CE79DD" w:rsidRDefault="00CE79DD" w:rsidP="00CE79DD">
            <w:pPr>
              <w:spacing w:after="0" w:line="240" w:lineRule="auto"/>
              <w:jc w:val="center"/>
              <w:rPr>
                <w:rFonts w:ascii="Aptos Narrow" w:eastAsia="Times New Roman" w:hAnsi="Aptos Narrow" w:cs="Times New Roman"/>
                <w:color w:val="000000"/>
              </w:rPr>
            </w:pPr>
          </w:p>
        </w:tc>
      </w:tr>
      <w:tr w:rsidR="00CE79DD" w:rsidRPr="00CE79DD" w14:paraId="3CC9014F" w14:textId="77777777" w:rsidTr="00CE79DD">
        <w:trPr>
          <w:trHeight w:val="300"/>
        </w:trPr>
        <w:tc>
          <w:tcPr>
            <w:tcW w:w="949" w:type="dxa"/>
            <w:tcBorders>
              <w:top w:val="nil"/>
              <w:left w:val="nil"/>
              <w:bottom w:val="nil"/>
              <w:right w:val="nil"/>
            </w:tcBorders>
            <w:shd w:val="clear" w:color="auto" w:fill="auto"/>
            <w:vAlign w:val="center"/>
            <w:hideMark/>
          </w:tcPr>
          <w:p w14:paraId="436A14E0" w14:textId="77777777" w:rsidR="00CE79DD" w:rsidRPr="00CE79DD" w:rsidRDefault="00CE79DD" w:rsidP="00CE79DD">
            <w:pPr>
              <w:spacing w:after="0" w:line="240" w:lineRule="auto"/>
              <w:rPr>
                <w:rFonts w:ascii="Times New Roman" w:eastAsia="Times New Roman" w:hAnsi="Times New Roman" w:cs="Times New Roman"/>
                <w:sz w:val="20"/>
                <w:szCs w:val="20"/>
              </w:rPr>
            </w:pPr>
          </w:p>
        </w:tc>
        <w:tc>
          <w:tcPr>
            <w:tcW w:w="960" w:type="dxa"/>
            <w:tcBorders>
              <w:top w:val="nil"/>
              <w:left w:val="single" w:sz="8" w:space="0" w:color="000000"/>
              <w:bottom w:val="single" w:sz="8" w:space="0" w:color="000000"/>
              <w:right w:val="single" w:sz="8" w:space="0" w:color="000000"/>
            </w:tcBorders>
            <w:shd w:val="clear" w:color="auto" w:fill="auto"/>
            <w:noWrap/>
            <w:vAlign w:val="center"/>
            <w:hideMark/>
          </w:tcPr>
          <w:p w14:paraId="57AFA5D9" w14:textId="77777777" w:rsidR="00CE79DD" w:rsidRPr="00CE79DD" w:rsidRDefault="00CE79DD" w:rsidP="00CE79DD">
            <w:pPr>
              <w:spacing w:after="0" w:line="240" w:lineRule="auto"/>
              <w:jc w:val="center"/>
              <w:rPr>
                <w:rFonts w:ascii="Aptos Narrow" w:eastAsia="Times New Roman" w:hAnsi="Aptos Narrow" w:cs="Times New Roman"/>
                <w:color w:val="000000"/>
              </w:rPr>
            </w:pPr>
            <w:r w:rsidRPr="00CE79DD">
              <w:rPr>
                <w:rFonts w:ascii="Aptos Narrow" w:eastAsia="Times New Roman" w:hAnsi="Aptos Narrow" w:cs="Times New Roman"/>
                <w:color w:val="000000"/>
              </w:rPr>
              <w:t>3.6</w:t>
            </w:r>
          </w:p>
        </w:tc>
        <w:tc>
          <w:tcPr>
            <w:tcW w:w="959" w:type="dxa"/>
            <w:tcBorders>
              <w:top w:val="nil"/>
              <w:left w:val="nil"/>
              <w:bottom w:val="single" w:sz="8" w:space="0" w:color="000000"/>
              <w:right w:val="single" w:sz="8" w:space="0" w:color="000000"/>
            </w:tcBorders>
            <w:shd w:val="clear" w:color="auto" w:fill="auto"/>
            <w:noWrap/>
            <w:vAlign w:val="center"/>
            <w:hideMark/>
          </w:tcPr>
          <w:p w14:paraId="087A52D2" w14:textId="77777777" w:rsidR="00CE79DD" w:rsidRPr="00CE79DD" w:rsidRDefault="00CE79DD" w:rsidP="00CE79DD">
            <w:pPr>
              <w:spacing w:after="0" w:line="240" w:lineRule="auto"/>
              <w:jc w:val="center"/>
              <w:rPr>
                <w:rFonts w:ascii="Aptos Narrow" w:eastAsia="Times New Roman" w:hAnsi="Aptos Narrow" w:cs="Times New Roman"/>
                <w:color w:val="000000"/>
              </w:rPr>
            </w:pPr>
            <w:r w:rsidRPr="00CE79DD">
              <w:rPr>
                <w:rFonts w:ascii="Aptos Narrow" w:eastAsia="Times New Roman" w:hAnsi="Aptos Narrow" w:cs="Times New Roman"/>
                <w:color w:val="000000"/>
              </w:rPr>
              <w:t>12.2</w:t>
            </w:r>
          </w:p>
        </w:tc>
        <w:tc>
          <w:tcPr>
            <w:tcW w:w="967" w:type="dxa"/>
            <w:tcBorders>
              <w:top w:val="nil"/>
              <w:left w:val="nil"/>
              <w:bottom w:val="single" w:sz="8" w:space="0" w:color="000000"/>
              <w:right w:val="single" w:sz="8" w:space="0" w:color="000000"/>
            </w:tcBorders>
            <w:shd w:val="clear" w:color="auto" w:fill="auto"/>
            <w:noWrap/>
            <w:vAlign w:val="center"/>
            <w:hideMark/>
          </w:tcPr>
          <w:p w14:paraId="57C805B9" w14:textId="77777777" w:rsidR="00CE79DD" w:rsidRPr="00CE79DD" w:rsidRDefault="00CE79DD" w:rsidP="00CE79DD">
            <w:pPr>
              <w:spacing w:after="0" w:line="240" w:lineRule="auto"/>
              <w:jc w:val="center"/>
              <w:rPr>
                <w:rFonts w:ascii="Aptos Narrow" w:eastAsia="Times New Roman" w:hAnsi="Aptos Narrow" w:cs="Times New Roman"/>
                <w:color w:val="000000"/>
              </w:rPr>
            </w:pPr>
            <w:r w:rsidRPr="00CE79DD">
              <w:rPr>
                <w:rFonts w:ascii="Aptos Narrow" w:eastAsia="Times New Roman" w:hAnsi="Aptos Narrow" w:cs="Times New Roman"/>
                <w:color w:val="000000"/>
              </w:rPr>
              <w:t>1.4</w:t>
            </w:r>
          </w:p>
        </w:tc>
        <w:tc>
          <w:tcPr>
            <w:tcW w:w="960" w:type="dxa"/>
            <w:tcBorders>
              <w:top w:val="nil"/>
              <w:left w:val="nil"/>
              <w:bottom w:val="single" w:sz="8" w:space="0" w:color="000000"/>
              <w:right w:val="single" w:sz="8" w:space="0" w:color="000000"/>
            </w:tcBorders>
            <w:shd w:val="clear" w:color="auto" w:fill="auto"/>
            <w:noWrap/>
            <w:vAlign w:val="center"/>
            <w:hideMark/>
          </w:tcPr>
          <w:p w14:paraId="2F907654" w14:textId="77777777" w:rsidR="00CE79DD" w:rsidRPr="00CE79DD" w:rsidRDefault="00CE79DD" w:rsidP="00CE79DD">
            <w:pPr>
              <w:spacing w:after="0" w:line="240" w:lineRule="auto"/>
              <w:jc w:val="center"/>
              <w:rPr>
                <w:rFonts w:ascii="Aptos Narrow" w:eastAsia="Times New Roman" w:hAnsi="Aptos Narrow" w:cs="Times New Roman"/>
                <w:color w:val="000000"/>
              </w:rPr>
            </w:pPr>
            <w:r w:rsidRPr="00CE79DD">
              <w:rPr>
                <w:rFonts w:ascii="Aptos Narrow" w:eastAsia="Times New Roman" w:hAnsi="Aptos Narrow" w:cs="Times New Roman"/>
                <w:color w:val="000000"/>
              </w:rPr>
              <w:t>15.6</w:t>
            </w:r>
          </w:p>
        </w:tc>
        <w:tc>
          <w:tcPr>
            <w:tcW w:w="977" w:type="dxa"/>
            <w:tcBorders>
              <w:top w:val="nil"/>
              <w:left w:val="nil"/>
              <w:bottom w:val="single" w:sz="8" w:space="0" w:color="auto"/>
              <w:right w:val="single" w:sz="8" w:space="0" w:color="auto"/>
            </w:tcBorders>
            <w:shd w:val="clear" w:color="auto" w:fill="auto"/>
            <w:vAlign w:val="center"/>
            <w:hideMark/>
          </w:tcPr>
          <w:p w14:paraId="5418527A" w14:textId="77777777" w:rsidR="00CE79DD" w:rsidRPr="00CE79DD" w:rsidRDefault="00CE79DD" w:rsidP="00CE79DD">
            <w:pPr>
              <w:spacing w:after="0" w:line="240" w:lineRule="auto"/>
              <w:jc w:val="right"/>
              <w:rPr>
                <w:rFonts w:ascii="Calibri" w:eastAsia="Times New Roman" w:hAnsi="Calibri" w:cs="Calibri"/>
                <w:color w:val="000000"/>
              </w:rPr>
            </w:pPr>
            <w:r w:rsidRPr="00CE79DD">
              <w:rPr>
                <w:rFonts w:ascii="Calibri" w:eastAsia="Times New Roman" w:hAnsi="Calibri" w:cs="Calibri"/>
                <w:color w:val="000000"/>
                <w:lang w:eastAsia="zh-CN"/>
              </w:rPr>
              <w:t>7</w:t>
            </w:r>
          </w:p>
        </w:tc>
        <w:tc>
          <w:tcPr>
            <w:tcW w:w="948" w:type="dxa"/>
            <w:tcBorders>
              <w:top w:val="nil"/>
              <w:left w:val="nil"/>
              <w:bottom w:val="nil"/>
              <w:right w:val="nil"/>
            </w:tcBorders>
            <w:shd w:val="clear" w:color="auto" w:fill="auto"/>
            <w:noWrap/>
            <w:vAlign w:val="bottom"/>
            <w:hideMark/>
          </w:tcPr>
          <w:p w14:paraId="4420E39E" w14:textId="77777777" w:rsidR="00CE79DD" w:rsidRPr="00CE79DD" w:rsidRDefault="00CE79DD" w:rsidP="00CE79DD">
            <w:pPr>
              <w:spacing w:after="0" w:line="240" w:lineRule="auto"/>
              <w:jc w:val="right"/>
              <w:rPr>
                <w:rFonts w:ascii="Calibri" w:eastAsia="Times New Roman" w:hAnsi="Calibri" w:cs="Calibri"/>
                <w:color w:val="000000"/>
              </w:rPr>
            </w:pPr>
          </w:p>
        </w:tc>
      </w:tr>
    </w:tbl>
    <w:p w14:paraId="745F0891" w14:textId="5869FDE7" w:rsidR="00DC1C50" w:rsidRPr="006B6F71" w:rsidRDefault="00DC1C50" w:rsidP="006B6F71">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zh-CN"/>
        </w:rPr>
      </w:pPr>
    </w:p>
    <w:sectPr w:rsidR="00DC1C50" w:rsidRPr="006B6F71"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58A4E" w14:textId="77777777" w:rsidR="00B03121" w:rsidRDefault="00B03121">
      <w:pPr>
        <w:spacing w:after="0" w:line="240" w:lineRule="auto"/>
      </w:pPr>
      <w:r>
        <w:separator/>
      </w:r>
    </w:p>
  </w:endnote>
  <w:endnote w:type="continuationSeparator" w:id="0">
    <w:p w14:paraId="7D5E57C5" w14:textId="77777777" w:rsidR="00B03121" w:rsidRDefault="00B03121">
      <w:pPr>
        <w:spacing w:after="0" w:line="240" w:lineRule="auto"/>
      </w:pPr>
      <w:r>
        <w:continuationSeparator/>
      </w:r>
    </w:p>
  </w:endnote>
  <w:endnote w:type="continuationNotice" w:id="1">
    <w:p w14:paraId="454C5279" w14:textId="77777777" w:rsidR="00B03121" w:rsidRDefault="00B031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FF673D" w:rsidRDefault="00FF6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FF673D" w:rsidRDefault="00FF673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31E28" w14:textId="77777777" w:rsidR="00B03121" w:rsidRDefault="00B03121">
      <w:pPr>
        <w:spacing w:after="0" w:line="240" w:lineRule="auto"/>
      </w:pPr>
      <w:r>
        <w:separator/>
      </w:r>
    </w:p>
  </w:footnote>
  <w:footnote w:type="continuationSeparator" w:id="0">
    <w:p w14:paraId="3EE342E9" w14:textId="77777777" w:rsidR="00B03121" w:rsidRDefault="00B03121">
      <w:pPr>
        <w:spacing w:after="0" w:line="240" w:lineRule="auto"/>
      </w:pPr>
      <w:r>
        <w:continuationSeparator/>
      </w:r>
    </w:p>
  </w:footnote>
  <w:footnote w:type="continuationNotice" w:id="1">
    <w:p w14:paraId="791388B5" w14:textId="77777777" w:rsidR="00B03121" w:rsidRDefault="00B031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3B41898"/>
    <w:multiLevelType w:val="hybridMultilevel"/>
    <w:tmpl w:val="557CD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041C3F"/>
    <w:multiLevelType w:val="hybridMultilevel"/>
    <w:tmpl w:val="C82E0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7630D"/>
    <w:multiLevelType w:val="hybridMultilevel"/>
    <w:tmpl w:val="C3F8AFF8"/>
    <w:lvl w:ilvl="0" w:tplc="8E4EE6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123B00"/>
    <w:multiLevelType w:val="hybridMultilevel"/>
    <w:tmpl w:val="7BD4F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671B8"/>
    <w:multiLevelType w:val="hybridMultilevel"/>
    <w:tmpl w:val="AA5069E2"/>
    <w:lvl w:ilvl="0" w:tplc="74A68EF4">
      <w:numFmt w:val="bullet"/>
      <w:lvlText w:val="-"/>
      <w:lvlJc w:val="left"/>
      <w:pPr>
        <w:ind w:left="720" w:hanging="360"/>
      </w:pPr>
      <w:rPr>
        <w:rFonts w:ascii="Calibri" w:eastAsia="Times New Roman" w:hAnsi="Calibri" w:cs="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D240E"/>
    <w:multiLevelType w:val="hybridMultilevel"/>
    <w:tmpl w:val="E38E6A32"/>
    <w:lvl w:ilvl="0" w:tplc="77FEB3B2">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E7242A2"/>
    <w:multiLevelType w:val="hybridMultilevel"/>
    <w:tmpl w:val="F1A27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F6FA4"/>
    <w:multiLevelType w:val="hybridMultilevel"/>
    <w:tmpl w:val="4C7A5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F6AB0"/>
    <w:multiLevelType w:val="multilevel"/>
    <w:tmpl w:val="6624E8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46C710F"/>
    <w:multiLevelType w:val="hybridMultilevel"/>
    <w:tmpl w:val="1A0EF444"/>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A5992"/>
    <w:multiLevelType w:val="multilevel"/>
    <w:tmpl w:val="24285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4" w15:restartNumberingAfterBreak="0">
    <w:nsid w:val="2A6B18E2"/>
    <w:multiLevelType w:val="hybridMultilevel"/>
    <w:tmpl w:val="75AA9620"/>
    <w:lvl w:ilvl="0" w:tplc="9434F4AE">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7B0CD2"/>
    <w:multiLevelType w:val="hybridMultilevel"/>
    <w:tmpl w:val="F65CAE42"/>
    <w:lvl w:ilvl="0" w:tplc="31644A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C502B0"/>
    <w:multiLevelType w:val="hybridMultilevel"/>
    <w:tmpl w:val="0D4EDA88"/>
    <w:lvl w:ilvl="0" w:tplc="5B9288D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A4B79"/>
    <w:multiLevelType w:val="hybridMultilevel"/>
    <w:tmpl w:val="521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ED0A41"/>
    <w:multiLevelType w:val="hybridMultilevel"/>
    <w:tmpl w:val="E292AB5A"/>
    <w:lvl w:ilvl="0" w:tplc="FC888E4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080C2F"/>
    <w:multiLevelType w:val="hybridMultilevel"/>
    <w:tmpl w:val="34EA6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44F59F0"/>
    <w:multiLevelType w:val="multilevel"/>
    <w:tmpl w:val="E11CB39A"/>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DF68B9"/>
    <w:multiLevelType w:val="hybridMultilevel"/>
    <w:tmpl w:val="A882FB02"/>
    <w:lvl w:ilvl="0" w:tplc="DB12C5C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CB1B6C"/>
    <w:multiLevelType w:val="hybridMultilevel"/>
    <w:tmpl w:val="88AA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A583DA9"/>
    <w:multiLevelType w:val="hybridMultilevel"/>
    <w:tmpl w:val="41FEFF8C"/>
    <w:lvl w:ilvl="0" w:tplc="77FEB3B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CC7EC9"/>
    <w:multiLevelType w:val="hybridMultilevel"/>
    <w:tmpl w:val="82DA800A"/>
    <w:lvl w:ilvl="0" w:tplc="A536B9F6">
      <w:start w:val="10"/>
      <w:numFmt w:val="bullet"/>
      <w:lvlText w:val="-"/>
      <w:lvlJc w:val="left"/>
      <w:pPr>
        <w:ind w:left="1320" w:hanging="360"/>
      </w:pPr>
      <w:rPr>
        <w:rFonts w:ascii="Times New Roman" w:eastAsia="SimSun" w:hAnsi="Times New Roman" w:cs="Times New Roman" w:hint="default"/>
      </w:rPr>
    </w:lvl>
    <w:lvl w:ilvl="1" w:tplc="04090003">
      <w:start w:val="1"/>
      <w:numFmt w:val="bullet"/>
      <w:lvlText w:val="o"/>
      <w:lvlJc w:val="left"/>
      <w:pPr>
        <w:ind w:left="2040" w:hanging="360"/>
      </w:pPr>
      <w:rPr>
        <w:rFonts w:ascii="Courier New" w:hAnsi="Courier New" w:cs="Courier New" w:hint="default"/>
      </w:rPr>
    </w:lvl>
    <w:lvl w:ilvl="2" w:tplc="04090005">
      <w:start w:val="1"/>
      <w:numFmt w:val="bullet"/>
      <w:lvlText w:val=""/>
      <w:lvlJc w:val="left"/>
      <w:pPr>
        <w:ind w:left="2760" w:hanging="360"/>
      </w:pPr>
      <w:rPr>
        <w:rFonts w:ascii="Wingdings" w:hAnsi="Wingdings" w:hint="default"/>
      </w:rPr>
    </w:lvl>
    <w:lvl w:ilvl="3" w:tplc="04090001">
      <w:start w:val="1"/>
      <w:numFmt w:val="bullet"/>
      <w:lvlText w:val=""/>
      <w:lvlJc w:val="left"/>
      <w:pPr>
        <w:ind w:left="3480" w:hanging="360"/>
      </w:pPr>
      <w:rPr>
        <w:rFonts w:ascii="Symbol" w:hAnsi="Symbol" w:hint="default"/>
      </w:rPr>
    </w:lvl>
    <w:lvl w:ilvl="4" w:tplc="04090003">
      <w:start w:val="1"/>
      <w:numFmt w:val="bullet"/>
      <w:lvlText w:val="o"/>
      <w:lvlJc w:val="left"/>
      <w:pPr>
        <w:ind w:left="4200" w:hanging="360"/>
      </w:pPr>
      <w:rPr>
        <w:rFonts w:ascii="Courier New" w:hAnsi="Courier New" w:cs="Courier New" w:hint="default"/>
      </w:rPr>
    </w:lvl>
    <w:lvl w:ilvl="5" w:tplc="04090005">
      <w:start w:val="1"/>
      <w:numFmt w:val="bullet"/>
      <w:lvlText w:val=""/>
      <w:lvlJc w:val="left"/>
      <w:pPr>
        <w:ind w:left="4920" w:hanging="360"/>
      </w:pPr>
      <w:rPr>
        <w:rFonts w:ascii="Wingdings" w:hAnsi="Wingdings" w:hint="default"/>
      </w:rPr>
    </w:lvl>
    <w:lvl w:ilvl="6" w:tplc="04090001">
      <w:start w:val="1"/>
      <w:numFmt w:val="bullet"/>
      <w:lvlText w:val=""/>
      <w:lvlJc w:val="left"/>
      <w:pPr>
        <w:ind w:left="5640" w:hanging="360"/>
      </w:pPr>
      <w:rPr>
        <w:rFonts w:ascii="Symbol" w:hAnsi="Symbol" w:hint="default"/>
      </w:rPr>
    </w:lvl>
    <w:lvl w:ilvl="7" w:tplc="04090003">
      <w:start w:val="1"/>
      <w:numFmt w:val="bullet"/>
      <w:lvlText w:val="o"/>
      <w:lvlJc w:val="left"/>
      <w:pPr>
        <w:ind w:left="6360" w:hanging="360"/>
      </w:pPr>
      <w:rPr>
        <w:rFonts w:ascii="Courier New" w:hAnsi="Courier New" w:cs="Courier New" w:hint="default"/>
      </w:rPr>
    </w:lvl>
    <w:lvl w:ilvl="8" w:tplc="04090005">
      <w:start w:val="1"/>
      <w:numFmt w:val="bullet"/>
      <w:lvlText w:val=""/>
      <w:lvlJc w:val="left"/>
      <w:pPr>
        <w:ind w:left="7080" w:hanging="360"/>
      </w:pPr>
      <w:rPr>
        <w:rFonts w:ascii="Wingdings" w:hAnsi="Wingdings" w:hint="default"/>
      </w:rPr>
    </w:lvl>
  </w:abstractNum>
  <w:abstractNum w:abstractNumId="34" w15:restartNumberingAfterBreak="0">
    <w:nsid w:val="6B4B60A2"/>
    <w:multiLevelType w:val="hybridMultilevel"/>
    <w:tmpl w:val="CB7E601C"/>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E9F2AF0"/>
    <w:multiLevelType w:val="hybridMultilevel"/>
    <w:tmpl w:val="EE84D19C"/>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4146E0"/>
    <w:multiLevelType w:val="hybridMultilevel"/>
    <w:tmpl w:val="8876A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9" w15:restartNumberingAfterBreak="0">
    <w:nsid w:val="792D7DFA"/>
    <w:multiLevelType w:val="hybridMultilevel"/>
    <w:tmpl w:val="4A3A1CC4"/>
    <w:lvl w:ilvl="0" w:tplc="9434F4AE">
      <w:numFmt w:val="bullet"/>
      <w:lvlText w:val="•"/>
      <w:lvlJc w:val="left"/>
      <w:pPr>
        <w:ind w:left="1440" w:hanging="72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695969">
    <w:abstractNumId w:val="21"/>
  </w:num>
  <w:num w:numId="2" w16cid:durableId="931204953">
    <w:abstractNumId w:val="32"/>
  </w:num>
  <w:num w:numId="3" w16cid:durableId="560822582">
    <w:abstractNumId w:val="35"/>
  </w:num>
  <w:num w:numId="4" w16cid:durableId="2008247555">
    <w:abstractNumId w:val="40"/>
  </w:num>
  <w:num w:numId="5" w16cid:durableId="811797267">
    <w:abstractNumId w:val="15"/>
  </w:num>
  <w:num w:numId="6" w16cid:durableId="1050306330">
    <w:abstractNumId w:val="28"/>
  </w:num>
  <w:num w:numId="7" w16cid:durableId="1986933688">
    <w:abstractNumId w:val="13"/>
  </w:num>
  <w:num w:numId="8" w16cid:durableId="1100488873">
    <w:abstractNumId w:val="18"/>
  </w:num>
  <w:num w:numId="9" w16cid:durableId="2095323162">
    <w:abstractNumId w:val="38"/>
  </w:num>
  <w:num w:numId="10" w16cid:durableId="2037807686">
    <w:abstractNumId w:val="0"/>
  </w:num>
  <w:num w:numId="11" w16cid:durableId="1317144994">
    <w:abstractNumId w:val="24"/>
  </w:num>
  <w:num w:numId="12" w16cid:durableId="437406013">
    <w:abstractNumId w:val="29"/>
  </w:num>
  <w:num w:numId="13" w16cid:durableId="708183368">
    <w:abstractNumId w:val="30"/>
  </w:num>
  <w:num w:numId="14" w16cid:durableId="301735729">
    <w:abstractNumId w:val="8"/>
  </w:num>
  <w:num w:numId="15" w16cid:durableId="1540126573">
    <w:abstractNumId w:val="25"/>
  </w:num>
  <w:num w:numId="16" w16cid:durableId="7103750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0617670">
    <w:abstractNumId w:val="17"/>
  </w:num>
  <w:num w:numId="18" w16cid:durableId="2016495456">
    <w:abstractNumId w:val="22"/>
  </w:num>
  <w:num w:numId="19" w16cid:durableId="1819228270">
    <w:abstractNumId w:val="2"/>
  </w:num>
  <w:num w:numId="20" w16cid:durableId="198787013">
    <w:abstractNumId w:val="9"/>
  </w:num>
  <w:num w:numId="21" w16cid:durableId="375087831">
    <w:abstractNumId w:val="1"/>
  </w:num>
  <w:num w:numId="22" w16cid:durableId="772288293">
    <w:abstractNumId w:val="27"/>
  </w:num>
  <w:num w:numId="23" w16cid:durableId="637802965">
    <w:abstractNumId w:val="3"/>
  </w:num>
  <w:num w:numId="24" w16cid:durableId="957221645">
    <w:abstractNumId w:val="19"/>
  </w:num>
  <w:num w:numId="25" w16cid:durableId="1860467593">
    <w:abstractNumId w:val="16"/>
  </w:num>
  <w:num w:numId="26" w16cid:durableId="1938906075">
    <w:abstractNumId w:val="31"/>
  </w:num>
  <w:num w:numId="27" w16cid:durableId="1504584152">
    <w:abstractNumId w:val="6"/>
  </w:num>
  <w:num w:numId="28" w16cid:durableId="1747147222">
    <w:abstractNumId w:val="23"/>
  </w:num>
  <w:num w:numId="29" w16cid:durableId="2015720604">
    <w:abstractNumId w:val="34"/>
  </w:num>
  <w:num w:numId="30" w16cid:durableId="78600627">
    <w:abstractNumId w:val="36"/>
  </w:num>
  <w:num w:numId="31" w16cid:durableId="648025339">
    <w:abstractNumId w:val="11"/>
  </w:num>
  <w:num w:numId="32" w16cid:durableId="400753899">
    <w:abstractNumId w:val="14"/>
  </w:num>
  <w:num w:numId="33" w16cid:durableId="393117120">
    <w:abstractNumId w:val="39"/>
  </w:num>
  <w:num w:numId="34" w16cid:durableId="2045908166">
    <w:abstractNumId w:val="20"/>
  </w:num>
  <w:num w:numId="35" w16cid:durableId="1075594283">
    <w:abstractNumId w:val="37"/>
  </w:num>
  <w:num w:numId="36" w16cid:durableId="1871452722">
    <w:abstractNumId w:val="10"/>
  </w:num>
  <w:num w:numId="37" w16cid:durableId="1817992020">
    <w:abstractNumId w:val="26"/>
  </w:num>
  <w:num w:numId="38" w16cid:durableId="1079332773">
    <w:abstractNumId w:val="5"/>
  </w:num>
  <w:num w:numId="39" w16cid:durableId="1547836221">
    <w:abstractNumId w:val="4"/>
  </w:num>
  <w:num w:numId="40" w16cid:durableId="512959747">
    <w:abstractNumId w:val="7"/>
  </w:num>
  <w:num w:numId="41" w16cid:durableId="1302465030">
    <w:abstractNumId w:val="33"/>
  </w:num>
  <w:num w:numId="42" w16cid:durableId="16006009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02009"/>
    <w:rsid w:val="00002366"/>
    <w:rsid w:val="00002AD3"/>
    <w:rsid w:val="00002C5D"/>
    <w:rsid w:val="00004721"/>
    <w:rsid w:val="00006AD7"/>
    <w:rsid w:val="00010147"/>
    <w:rsid w:val="00011505"/>
    <w:rsid w:val="0001457A"/>
    <w:rsid w:val="00014DC4"/>
    <w:rsid w:val="00014EE9"/>
    <w:rsid w:val="00014F74"/>
    <w:rsid w:val="00015102"/>
    <w:rsid w:val="00015C69"/>
    <w:rsid w:val="00021182"/>
    <w:rsid w:val="000226A2"/>
    <w:rsid w:val="00022CEF"/>
    <w:rsid w:val="00023598"/>
    <w:rsid w:val="00024141"/>
    <w:rsid w:val="00025B38"/>
    <w:rsid w:val="00026156"/>
    <w:rsid w:val="00026F79"/>
    <w:rsid w:val="0002738D"/>
    <w:rsid w:val="0003007D"/>
    <w:rsid w:val="00030BC0"/>
    <w:rsid w:val="00031370"/>
    <w:rsid w:val="0003194E"/>
    <w:rsid w:val="00031D5A"/>
    <w:rsid w:val="00032075"/>
    <w:rsid w:val="0003251D"/>
    <w:rsid w:val="00034B1D"/>
    <w:rsid w:val="00034F52"/>
    <w:rsid w:val="0003626C"/>
    <w:rsid w:val="00040E90"/>
    <w:rsid w:val="00041A59"/>
    <w:rsid w:val="00041C2D"/>
    <w:rsid w:val="000423E4"/>
    <w:rsid w:val="00042AB6"/>
    <w:rsid w:val="00043FDC"/>
    <w:rsid w:val="00045F7F"/>
    <w:rsid w:val="00046E31"/>
    <w:rsid w:val="0004785B"/>
    <w:rsid w:val="00047BA7"/>
    <w:rsid w:val="000519DA"/>
    <w:rsid w:val="000528DF"/>
    <w:rsid w:val="00052926"/>
    <w:rsid w:val="00052B72"/>
    <w:rsid w:val="00056FD8"/>
    <w:rsid w:val="000578E9"/>
    <w:rsid w:val="00057BDD"/>
    <w:rsid w:val="00057C34"/>
    <w:rsid w:val="00057F82"/>
    <w:rsid w:val="00060B0E"/>
    <w:rsid w:val="000619B9"/>
    <w:rsid w:val="00061B38"/>
    <w:rsid w:val="000627F6"/>
    <w:rsid w:val="00063781"/>
    <w:rsid w:val="00063FDB"/>
    <w:rsid w:val="00064614"/>
    <w:rsid w:val="00065FB9"/>
    <w:rsid w:val="000668DA"/>
    <w:rsid w:val="00066959"/>
    <w:rsid w:val="00066F9C"/>
    <w:rsid w:val="00067963"/>
    <w:rsid w:val="00067AB6"/>
    <w:rsid w:val="00067E21"/>
    <w:rsid w:val="0007074A"/>
    <w:rsid w:val="000708E7"/>
    <w:rsid w:val="000720A0"/>
    <w:rsid w:val="00072706"/>
    <w:rsid w:val="000727A9"/>
    <w:rsid w:val="00072EBC"/>
    <w:rsid w:val="000752F9"/>
    <w:rsid w:val="00075757"/>
    <w:rsid w:val="000772FD"/>
    <w:rsid w:val="00080350"/>
    <w:rsid w:val="000807D3"/>
    <w:rsid w:val="00080870"/>
    <w:rsid w:val="0008259A"/>
    <w:rsid w:val="00082DBD"/>
    <w:rsid w:val="00083427"/>
    <w:rsid w:val="00084299"/>
    <w:rsid w:val="00085EE5"/>
    <w:rsid w:val="000864C7"/>
    <w:rsid w:val="000865B6"/>
    <w:rsid w:val="000917C2"/>
    <w:rsid w:val="000938FA"/>
    <w:rsid w:val="00093D52"/>
    <w:rsid w:val="00097CFA"/>
    <w:rsid w:val="000A11E3"/>
    <w:rsid w:val="000A20FD"/>
    <w:rsid w:val="000A3CD3"/>
    <w:rsid w:val="000A3F3D"/>
    <w:rsid w:val="000A40A6"/>
    <w:rsid w:val="000A4C08"/>
    <w:rsid w:val="000A5E9C"/>
    <w:rsid w:val="000A6D17"/>
    <w:rsid w:val="000A7440"/>
    <w:rsid w:val="000A7623"/>
    <w:rsid w:val="000B0CA1"/>
    <w:rsid w:val="000B0F7D"/>
    <w:rsid w:val="000B168D"/>
    <w:rsid w:val="000B1B78"/>
    <w:rsid w:val="000B29C4"/>
    <w:rsid w:val="000B480B"/>
    <w:rsid w:val="000B54EC"/>
    <w:rsid w:val="000B5A6C"/>
    <w:rsid w:val="000B6338"/>
    <w:rsid w:val="000B7316"/>
    <w:rsid w:val="000B7F8C"/>
    <w:rsid w:val="000C076F"/>
    <w:rsid w:val="000C11D2"/>
    <w:rsid w:val="000C17D6"/>
    <w:rsid w:val="000C28B1"/>
    <w:rsid w:val="000C2D07"/>
    <w:rsid w:val="000C3EFE"/>
    <w:rsid w:val="000C4780"/>
    <w:rsid w:val="000C49DA"/>
    <w:rsid w:val="000C53E1"/>
    <w:rsid w:val="000C59DB"/>
    <w:rsid w:val="000C646B"/>
    <w:rsid w:val="000C6D9B"/>
    <w:rsid w:val="000D1593"/>
    <w:rsid w:val="000D2D9C"/>
    <w:rsid w:val="000D525C"/>
    <w:rsid w:val="000D7ACF"/>
    <w:rsid w:val="000E0843"/>
    <w:rsid w:val="000E0D80"/>
    <w:rsid w:val="000E14AE"/>
    <w:rsid w:val="000E1C93"/>
    <w:rsid w:val="000E2F12"/>
    <w:rsid w:val="000E304A"/>
    <w:rsid w:val="000E48BA"/>
    <w:rsid w:val="000E4B4B"/>
    <w:rsid w:val="000E564F"/>
    <w:rsid w:val="000F04BD"/>
    <w:rsid w:val="000F0BD9"/>
    <w:rsid w:val="000F183A"/>
    <w:rsid w:val="000F3306"/>
    <w:rsid w:val="000F39BE"/>
    <w:rsid w:val="000F4B5C"/>
    <w:rsid w:val="000F5519"/>
    <w:rsid w:val="000F5714"/>
    <w:rsid w:val="000F5DDB"/>
    <w:rsid w:val="000F5E02"/>
    <w:rsid w:val="000F617B"/>
    <w:rsid w:val="000F7990"/>
    <w:rsid w:val="00100EF7"/>
    <w:rsid w:val="001025F8"/>
    <w:rsid w:val="00102E94"/>
    <w:rsid w:val="0010315C"/>
    <w:rsid w:val="00103E35"/>
    <w:rsid w:val="0010403D"/>
    <w:rsid w:val="001040C3"/>
    <w:rsid w:val="00106D49"/>
    <w:rsid w:val="00110937"/>
    <w:rsid w:val="0011177F"/>
    <w:rsid w:val="00111B24"/>
    <w:rsid w:val="00111BB5"/>
    <w:rsid w:val="001120BC"/>
    <w:rsid w:val="001120D3"/>
    <w:rsid w:val="00113226"/>
    <w:rsid w:val="00113488"/>
    <w:rsid w:val="00114297"/>
    <w:rsid w:val="00114A67"/>
    <w:rsid w:val="00114F11"/>
    <w:rsid w:val="00116F34"/>
    <w:rsid w:val="001204A3"/>
    <w:rsid w:val="001204D0"/>
    <w:rsid w:val="0012099C"/>
    <w:rsid w:val="00121332"/>
    <w:rsid w:val="00121EC3"/>
    <w:rsid w:val="0012211F"/>
    <w:rsid w:val="00122933"/>
    <w:rsid w:val="00123017"/>
    <w:rsid w:val="00123E97"/>
    <w:rsid w:val="001243B0"/>
    <w:rsid w:val="0012591C"/>
    <w:rsid w:val="00125C28"/>
    <w:rsid w:val="00125E35"/>
    <w:rsid w:val="00126AC7"/>
    <w:rsid w:val="001272FB"/>
    <w:rsid w:val="00127F68"/>
    <w:rsid w:val="00127F9C"/>
    <w:rsid w:val="00130E7E"/>
    <w:rsid w:val="001310F0"/>
    <w:rsid w:val="001316FD"/>
    <w:rsid w:val="00133D32"/>
    <w:rsid w:val="00134F58"/>
    <w:rsid w:val="001400C8"/>
    <w:rsid w:val="00141654"/>
    <w:rsid w:val="00141EFC"/>
    <w:rsid w:val="00144512"/>
    <w:rsid w:val="001462DA"/>
    <w:rsid w:val="00146CE3"/>
    <w:rsid w:val="001477B0"/>
    <w:rsid w:val="001477EE"/>
    <w:rsid w:val="00147D94"/>
    <w:rsid w:val="00151169"/>
    <w:rsid w:val="00151EFE"/>
    <w:rsid w:val="00152484"/>
    <w:rsid w:val="001524D9"/>
    <w:rsid w:val="00152DEA"/>
    <w:rsid w:val="00154A97"/>
    <w:rsid w:val="001550F8"/>
    <w:rsid w:val="00156149"/>
    <w:rsid w:val="001563E9"/>
    <w:rsid w:val="001567FA"/>
    <w:rsid w:val="00157001"/>
    <w:rsid w:val="001603A8"/>
    <w:rsid w:val="00160CC0"/>
    <w:rsid w:val="00161E82"/>
    <w:rsid w:val="00163277"/>
    <w:rsid w:val="00164CF3"/>
    <w:rsid w:val="0016534F"/>
    <w:rsid w:val="00166B05"/>
    <w:rsid w:val="00167035"/>
    <w:rsid w:val="0017087F"/>
    <w:rsid w:val="001735A2"/>
    <w:rsid w:val="00174F27"/>
    <w:rsid w:val="0017540D"/>
    <w:rsid w:val="001761A3"/>
    <w:rsid w:val="001762C4"/>
    <w:rsid w:val="00177017"/>
    <w:rsid w:val="00177DE3"/>
    <w:rsid w:val="00180A88"/>
    <w:rsid w:val="001822EB"/>
    <w:rsid w:val="00186B52"/>
    <w:rsid w:val="0019013C"/>
    <w:rsid w:val="0019137F"/>
    <w:rsid w:val="00191D62"/>
    <w:rsid w:val="001943EF"/>
    <w:rsid w:val="00194671"/>
    <w:rsid w:val="001946EB"/>
    <w:rsid w:val="0019578A"/>
    <w:rsid w:val="00196BC2"/>
    <w:rsid w:val="001A0D7D"/>
    <w:rsid w:val="001A11A7"/>
    <w:rsid w:val="001A2384"/>
    <w:rsid w:val="001A31AA"/>
    <w:rsid w:val="001A3861"/>
    <w:rsid w:val="001A38E0"/>
    <w:rsid w:val="001A64ED"/>
    <w:rsid w:val="001B102A"/>
    <w:rsid w:val="001B188D"/>
    <w:rsid w:val="001B1A76"/>
    <w:rsid w:val="001B1B59"/>
    <w:rsid w:val="001B32E5"/>
    <w:rsid w:val="001B41A4"/>
    <w:rsid w:val="001B440E"/>
    <w:rsid w:val="001B68FF"/>
    <w:rsid w:val="001B7D8C"/>
    <w:rsid w:val="001C1495"/>
    <w:rsid w:val="001C1B6B"/>
    <w:rsid w:val="001C3453"/>
    <w:rsid w:val="001C3726"/>
    <w:rsid w:val="001C3EE2"/>
    <w:rsid w:val="001C41D1"/>
    <w:rsid w:val="001C47A4"/>
    <w:rsid w:val="001C63EE"/>
    <w:rsid w:val="001C6406"/>
    <w:rsid w:val="001C64D1"/>
    <w:rsid w:val="001C6FD6"/>
    <w:rsid w:val="001C72B6"/>
    <w:rsid w:val="001D063E"/>
    <w:rsid w:val="001D16C3"/>
    <w:rsid w:val="001D2512"/>
    <w:rsid w:val="001D265A"/>
    <w:rsid w:val="001D2B47"/>
    <w:rsid w:val="001D4E98"/>
    <w:rsid w:val="001D65C4"/>
    <w:rsid w:val="001D6979"/>
    <w:rsid w:val="001D6A66"/>
    <w:rsid w:val="001D6B29"/>
    <w:rsid w:val="001E1F1C"/>
    <w:rsid w:val="001E3C99"/>
    <w:rsid w:val="001E3D10"/>
    <w:rsid w:val="001E3E7D"/>
    <w:rsid w:val="001E4863"/>
    <w:rsid w:val="001E49C7"/>
    <w:rsid w:val="001E575B"/>
    <w:rsid w:val="001E6BA5"/>
    <w:rsid w:val="001E7361"/>
    <w:rsid w:val="001E78B4"/>
    <w:rsid w:val="001E7B23"/>
    <w:rsid w:val="001F13FA"/>
    <w:rsid w:val="001F1F5E"/>
    <w:rsid w:val="001F2264"/>
    <w:rsid w:val="001F22FE"/>
    <w:rsid w:val="001F2A16"/>
    <w:rsid w:val="001F4025"/>
    <w:rsid w:val="001F4C2E"/>
    <w:rsid w:val="001F5AAE"/>
    <w:rsid w:val="001F75E5"/>
    <w:rsid w:val="00200E8E"/>
    <w:rsid w:val="0020136E"/>
    <w:rsid w:val="0020227F"/>
    <w:rsid w:val="002022FF"/>
    <w:rsid w:val="002029F7"/>
    <w:rsid w:val="00202BFB"/>
    <w:rsid w:val="00203872"/>
    <w:rsid w:val="002045D0"/>
    <w:rsid w:val="0020571B"/>
    <w:rsid w:val="00211527"/>
    <w:rsid w:val="00212036"/>
    <w:rsid w:val="00214B0C"/>
    <w:rsid w:val="0021539E"/>
    <w:rsid w:val="00215BE3"/>
    <w:rsid w:val="00215FFF"/>
    <w:rsid w:val="00220AFB"/>
    <w:rsid w:val="00222056"/>
    <w:rsid w:val="00223E00"/>
    <w:rsid w:val="002250A1"/>
    <w:rsid w:val="0022515B"/>
    <w:rsid w:val="002252BC"/>
    <w:rsid w:val="00225E3D"/>
    <w:rsid w:val="00230C18"/>
    <w:rsid w:val="002316C3"/>
    <w:rsid w:val="00231D05"/>
    <w:rsid w:val="00233329"/>
    <w:rsid w:val="002334A7"/>
    <w:rsid w:val="00233F91"/>
    <w:rsid w:val="002345AC"/>
    <w:rsid w:val="00235DF9"/>
    <w:rsid w:val="00236158"/>
    <w:rsid w:val="00236C1E"/>
    <w:rsid w:val="00237711"/>
    <w:rsid w:val="00237B31"/>
    <w:rsid w:val="002428FE"/>
    <w:rsid w:val="002435EF"/>
    <w:rsid w:val="0024430A"/>
    <w:rsid w:val="0024536F"/>
    <w:rsid w:val="0024660E"/>
    <w:rsid w:val="00246DC6"/>
    <w:rsid w:val="002514DA"/>
    <w:rsid w:val="002523F2"/>
    <w:rsid w:val="00253370"/>
    <w:rsid w:val="00256BC4"/>
    <w:rsid w:val="002572E1"/>
    <w:rsid w:val="002633CA"/>
    <w:rsid w:val="00263557"/>
    <w:rsid w:val="002636C8"/>
    <w:rsid w:val="00264F7B"/>
    <w:rsid w:val="00266A21"/>
    <w:rsid w:val="0026753C"/>
    <w:rsid w:val="00267822"/>
    <w:rsid w:val="002706CB"/>
    <w:rsid w:val="00270CD7"/>
    <w:rsid w:val="00271C08"/>
    <w:rsid w:val="00275EC3"/>
    <w:rsid w:val="00276A3E"/>
    <w:rsid w:val="00282778"/>
    <w:rsid w:val="00282DA3"/>
    <w:rsid w:val="002831D7"/>
    <w:rsid w:val="00283456"/>
    <w:rsid w:val="00283599"/>
    <w:rsid w:val="00284091"/>
    <w:rsid w:val="0028677E"/>
    <w:rsid w:val="00286DD7"/>
    <w:rsid w:val="00290161"/>
    <w:rsid w:val="00293226"/>
    <w:rsid w:val="002941D6"/>
    <w:rsid w:val="002945E9"/>
    <w:rsid w:val="00294620"/>
    <w:rsid w:val="00294791"/>
    <w:rsid w:val="00294C7C"/>
    <w:rsid w:val="002954A5"/>
    <w:rsid w:val="00297B98"/>
    <w:rsid w:val="002A17B2"/>
    <w:rsid w:val="002A3774"/>
    <w:rsid w:val="002A42F2"/>
    <w:rsid w:val="002A4560"/>
    <w:rsid w:val="002A59E4"/>
    <w:rsid w:val="002A5D27"/>
    <w:rsid w:val="002A76CE"/>
    <w:rsid w:val="002B06B0"/>
    <w:rsid w:val="002B2175"/>
    <w:rsid w:val="002B26A7"/>
    <w:rsid w:val="002B2755"/>
    <w:rsid w:val="002B388E"/>
    <w:rsid w:val="002B449C"/>
    <w:rsid w:val="002B58F1"/>
    <w:rsid w:val="002B700C"/>
    <w:rsid w:val="002C1FC8"/>
    <w:rsid w:val="002C308B"/>
    <w:rsid w:val="002C32F0"/>
    <w:rsid w:val="002C371F"/>
    <w:rsid w:val="002C42C1"/>
    <w:rsid w:val="002C4577"/>
    <w:rsid w:val="002C47A2"/>
    <w:rsid w:val="002C6517"/>
    <w:rsid w:val="002D0C26"/>
    <w:rsid w:val="002D0EB8"/>
    <w:rsid w:val="002D3669"/>
    <w:rsid w:val="002D47A0"/>
    <w:rsid w:val="002D4938"/>
    <w:rsid w:val="002D62C8"/>
    <w:rsid w:val="002D6FC7"/>
    <w:rsid w:val="002E1FE6"/>
    <w:rsid w:val="002E29BA"/>
    <w:rsid w:val="002E4E4D"/>
    <w:rsid w:val="002E4E54"/>
    <w:rsid w:val="002E572C"/>
    <w:rsid w:val="002E5BDA"/>
    <w:rsid w:val="002E60A4"/>
    <w:rsid w:val="002E7821"/>
    <w:rsid w:val="002E7894"/>
    <w:rsid w:val="002E7B15"/>
    <w:rsid w:val="002F0628"/>
    <w:rsid w:val="002F26FD"/>
    <w:rsid w:val="002F324C"/>
    <w:rsid w:val="002F347E"/>
    <w:rsid w:val="002F45E5"/>
    <w:rsid w:val="002F4FB4"/>
    <w:rsid w:val="002F5216"/>
    <w:rsid w:val="002F5A73"/>
    <w:rsid w:val="002F5ED9"/>
    <w:rsid w:val="002F6B0B"/>
    <w:rsid w:val="002F7BA9"/>
    <w:rsid w:val="003002CF"/>
    <w:rsid w:val="00301CA8"/>
    <w:rsid w:val="00303C62"/>
    <w:rsid w:val="00306CB3"/>
    <w:rsid w:val="00307018"/>
    <w:rsid w:val="0030747F"/>
    <w:rsid w:val="003077A1"/>
    <w:rsid w:val="00310C0B"/>
    <w:rsid w:val="00310E81"/>
    <w:rsid w:val="003119AC"/>
    <w:rsid w:val="00311AE7"/>
    <w:rsid w:val="0031392F"/>
    <w:rsid w:val="00313E47"/>
    <w:rsid w:val="00315332"/>
    <w:rsid w:val="003153AF"/>
    <w:rsid w:val="00315A3E"/>
    <w:rsid w:val="00315E4E"/>
    <w:rsid w:val="0031664B"/>
    <w:rsid w:val="00316975"/>
    <w:rsid w:val="00317394"/>
    <w:rsid w:val="003218CD"/>
    <w:rsid w:val="0032498A"/>
    <w:rsid w:val="00325115"/>
    <w:rsid w:val="0032533A"/>
    <w:rsid w:val="00325B25"/>
    <w:rsid w:val="003279C1"/>
    <w:rsid w:val="00327FEC"/>
    <w:rsid w:val="00330089"/>
    <w:rsid w:val="00330BF7"/>
    <w:rsid w:val="00331B53"/>
    <w:rsid w:val="00331BAF"/>
    <w:rsid w:val="00332538"/>
    <w:rsid w:val="00333C98"/>
    <w:rsid w:val="00334382"/>
    <w:rsid w:val="00334AD2"/>
    <w:rsid w:val="00335073"/>
    <w:rsid w:val="00335182"/>
    <w:rsid w:val="003410B0"/>
    <w:rsid w:val="003411DA"/>
    <w:rsid w:val="00341D9A"/>
    <w:rsid w:val="00343425"/>
    <w:rsid w:val="00344063"/>
    <w:rsid w:val="0034596D"/>
    <w:rsid w:val="00345981"/>
    <w:rsid w:val="003470A2"/>
    <w:rsid w:val="00347D81"/>
    <w:rsid w:val="003504BB"/>
    <w:rsid w:val="0035111D"/>
    <w:rsid w:val="00351721"/>
    <w:rsid w:val="00351AD2"/>
    <w:rsid w:val="00351B3F"/>
    <w:rsid w:val="003521D1"/>
    <w:rsid w:val="003555E9"/>
    <w:rsid w:val="0035662A"/>
    <w:rsid w:val="003610A3"/>
    <w:rsid w:val="003613A8"/>
    <w:rsid w:val="00361594"/>
    <w:rsid w:val="0036200D"/>
    <w:rsid w:val="0036444E"/>
    <w:rsid w:val="003656FB"/>
    <w:rsid w:val="00366077"/>
    <w:rsid w:val="00366150"/>
    <w:rsid w:val="00366947"/>
    <w:rsid w:val="0037112E"/>
    <w:rsid w:val="00372DB9"/>
    <w:rsid w:val="00372EA0"/>
    <w:rsid w:val="00373FA5"/>
    <w:rsid w:val="003744C3"/>
    <w:rsid w:val="003765A2"/>
    <w:rsid w:val="003770D6"/>
    <w:rsid w:val="003773DE"/>
    <w:rsid w:val="0037781B"/>
    <w:rsid w:val="003817DC"/>
    <w:rsid w:val="00382B8E"/>
    <w:rsid w:val="00382E2D"/>
    <w:rsid w:val="00383731"/>
    <w:rsid w:val="003841EE"/>
    <w:rsid w:val="003845B1"/>
    <w:rsid w:val="00385A01"/>
    <w:rsid w:val="003864A8"/>
    <w:rsid w:val="003868E9"/>
    <w:rsid w:val="00386D4B"/>
    <w:rsid w:val="003873A8"/>
    <w:rsid w:val="00387E4F"/>
    <w:rsid w:val="003908DF"/>
    <w:rsid w:val="003921C5"/>
    <w:rsid w:val="003932CB"/>
    <w:rsid w:val="003939DD"/>
    <w:rsid w:val="003939E3"/>
    <w:rsid w:val="00393ED7"/>
    <w:rsid w:val="0039478A"/>
    <w:rsid w:val="00395CA8"/>
    <w:rsid w:val="00396D64"/>
    <w:rsid w:val="00396F03"/>
    <w:rsid w:val="00397D96"/>
    <w:rsid w:val="00397E8C"/>
    <w:rsid w:val="003A0679"/>
    <w:rsid w:val="003A1824"/>
    <w:rsid w:val="003A3FAA"/>
    <w:rsid w:val="003A41A7"/>
    <w:rsid w:val="003A515D"/>
    <w:rsid w:val="003A59B8"/>
    <w:rsid w:val="003A70B0"/>
    <w:rsid w:val="003A7478"/>
    <w:rsid w:val="003A74FE"/>
    <w:rsid w:val="003A7776"/>
    <w:rsid w:val="003B07D6"/>
    <w:rsid w:val="003B0F9E"/>
    <w:rsid w:val="003B0FAA"/>
    <w:rsid w:val="003B103F"/>
    <w:rsid w:val="003B1FF9"/>
    <w:rsid w:val="003B25B6"/>
    <w:rsid w:val="003B27A8"/>
    <w:rsid w:val="003B33A4"/>
    <w:rsid w:val="003B34AA"/>
    <w:rsid w:val="003B4A3D"/>
    <w:rsid w:val="003B6CA6"/>
    <w:rsid w:val="003B7969"/>
    <w:rsid w:val="003C2460"/>
    <w:rsid w:val="003C2A9B"/>
    <w:rsid w:val="003C56E1"/>
    <w:rsid w:val="003C7C32"/>
    <w:rsid w:val="003D07A6"/>
    <w:rsid w:val="003D0F92"/>
    <w:rsid w:val="003D377E"/>
    <w:rsid w:val="003D3B3C"/>
    <w:rsid w:val="003D3B4A"/>
    <w:rsid w:val="003D4937"/>
    <w:rsid w:val="003D6032"/>
    <w:rsid w:val="003E01F9"/>
    <w:rsid w:val="003E10BD"/>
    <w:rsid w:val="003E1914"/>
    <w:rsid w:val="003E2205"/>
    <w:rsid w:val="003E2B8B"/>
    <w:rsid w:val="003E44A2"/>
    <w:rsid w:val="003E4F05"/>
    <w:rsid w:val="003E5125"/>
    <w:rsid w:val="003E5D72"/>
    <w:rsid w:val="003E5E9F"/>
    <w:rsid w:val="003E5F0E"/>
    <w:rsid w:val="003E63ED"/>
    <w:rsid w:val="003E6D3F"/>
    <w:rsid w:val="003E7259"/>
    <w:rsid w:val="003E7A08"/>
    <w:rsid w:val="003F03E3"/>
    <w:rsid w:val="003F0BFE"/>
    <w:rsid w:val="003F180B"/>
    <w:rsid w:val="003F1AEB"/>
    <w:rsid w:val="003F2A26"/>
    <w:rsid w:val="003F2AC0"/>
    <w:rsid w:val="003F349C"/>
    <w:rsid w:val="003F3797"/>
    <w:rsid w:val="003F5513"/>
    <w:rsid w:val="003F638F"/>
    <w:rsid w:val="003F6E7D"/>
    <w:rsid w:val="0040026B"/>
    <w:rsid w:val="00401D32"/>
    <w:rsid w:val="00401F1C"/>
    <w:rsid w:val="004030C2"/>
    <w:rsid w:val="00403499"/>
    <w:rsid w:val="0040351D"/>
    <w:rsid w:val="00403DBB"/>
    <w:rsid w:val="004041F8"/>
    <w:rsid w:val="00405095"/>
    <w:rsid w:val="004056A2"/>
    <w:rsid w:val="00406616"/>
    <w:rsid w:val="00407C11"/>
    <w:rsid w:val="00407C7A"/>
    <w:rsid w:val="00410014"/>
    <w:rsid w:val="004122DA"/>
    <w:rsid w:val="00413B11"/>
    <w:rsid w:val="004174A8"/>
    <w:rsid w:val="00420449"/>
    <w:rsid w:val="0042159E"/>
    <w:rsid w:val="004215F1"/>
    <w:rsid w:val="00421998"/>
    <w:rsid w:val="0042224E"/>
    <w:rsid w:val="00422DCB"/>
    <w:rsid w:val="00424856"/>
    <w:rsid w:val="004277BA"/>
    <w:rsid w:val="00431460"/>
    <w:rsid w:val="00431AE8"/>
    <w:rsid w:val="0043331F"/>
    <w:rsid w:val="0043341D"/>
    <w:rsid w:val="0043443A"/>
    <w:rsid w:val="00435644"/>
    <w:rsid w:val="004358CD"/>
    <w:rsid w:val="004361CD"/>
    <w:rsid w:val="00436A43"/>
    <w:rsid w:val="00437CB2"/>
    <w:rsid w:val="00440128"/>
    <w:rsid w:val="0044012E"/>
    <w:rsid w:val="00441B60"/>
    <w:rsid w:val="0044227C"/>
    <w:rsid w:val="00442524"/>
    <w:rsid w:val="00442D81"/>
    <w:rsid w:val="00443072"/>
    <w:rsid w:val="004438C8"/>
    <w:rsid w:val="00446366"/>
    <w:rsid w:val="004463DC"/>
    <w:rsid w:val="00446B57"/>
    <w:rsid w:val="00446D2A"/>
    <w:rsid w:val="00447D5B"/>
    <w:rsid w:val="00450A3D"/>
    <w:rsid w:val="00450BB7"/>
    <w:rsid w:val="004510BC"/>
    <w:rsid w:val="00451D41"/>
    <w:rsid w:val="004520CF"/>
    <w:rsid w:val="00452591"/>
    <w:rsid w:val="00455258"/>
    <w:rsid w:val="0045545B"/>
    <w:rsid w:val="00455B0C"/>
    <w:rsid w:val="004569EC"/>
    <w:rsid w:val="00457035"/>
    <w:rsid w:val="00457118"/>
    <w:rsid w:val="00457B2C"/>
    <w:rsid w:val="00462EDB"/>
    <w:rsid w:val="004635A4"/>
    <w:rsid w:val="00463DC4"/>
    <w:rsid w:val="00463DE3"/>
    <w:rsid w:val="004648B8"/>
    <w:rsid w:val="00464CD9"/>
    <w:rsid w:val="00465B09"/>
    <w:rsid w:val="00471224"/>
    <w:rsid w:val="004713D9"/>
    <w:rsid w:val="00472842"/>
    <w:rsid w:val="0047324D"/>
    <w:rsid w:val="00473A25"/>
    <w:rsid w:val="00474837"/>
    <w:rsid w:val="00475804"/>
    <w:rsid w:val="00477180"/>
    <w:rsid w:val="004776FE"/>
    <w:rsid w:val="00477965"/>
    <w:rsid w:val="00477C9F"/>
    <w:rsid w:val="00480204"/>
    <w:rsid w:val="00481F60"/>
    <w:rsid w:val="0048303C"/>
    <w:rsid w:val="004856FD"/>
    <w:rsid w:val="00486BCF"/>
    <w:rsid w:val="004871D2"/>
    <w:rsid w:val="00490842"/>
    <w:rsid w:val="0049316B"/>
    <w:rsid w:val="0049606E"/>
    <w:rsid w:val="00496C36"/>
    <w:rsid w:val="004A25B7"/>
    <w:rsid w:val="004A4CF6"/>
    <w:rsid w:val="004A5B01"/>
    <w:rsid w:val="004A5EF0"/>
    <w:rsid w:val="004A64B2"/>
    <w:rsid w:val="004A7F45"/>
    <w:rsid w:val="004B001A"/>
    <w:rsid w:val="004B0B1E"/>
    <w:rsid w:val="004B0DB6"/>
    <w:rsid w:val="004B36A8"/>
    <w:rsid w:val="004B4CD5"/>
    <w:rsid w:val="004B60BF"/>
    <w:rsid w:val="004B691D"/>
    <w:rsid w:val="004B7786"/>
    <w:rsid w:val="004C01E4"/>
    <w:rsid w:val="004C03D8"/>
    <w:rsid w:val="004C2113"/>
    <w:rsid w:val="004C2206"/>
    <w:rsid w:val="004C3E06"/>
    <w:rsid w:val="004C4168"/>
    <w:rsid w:val="004C4D4F"/>
    <w:rsid w:val="004C4E62"/>
    <w:rsid w:val="004C63B2"/>
    <w:rsid w:val="004C6977"/>
    <w:rsid w:val="004C7B3A"/>
    <w:rsid w:val="004D001B"/>
    <w:rsid w:val="004D0212"/>
    <w:rsid w:val="004D2C5F"/>
    <w:rsid w:val="004D3600"/>
    <w:rsid w:val="004D3C12"/>
    <w:rsid w:val="004D3D42"/>
    <w:rsid w:val="004D3F74"/>
    <w:rsid w:val="004D480F"/>
    <w:rsid w:val="004E08BD"/>
    <w:rsid w:val="004E13C6"/>
    <w:rsid w:val="004E26BB"/>
    <w:rsid w:val="004E2D90"/>
    <w:rsid w:val="004E3EB9"/>
    <w:rsid w:val="004E43CF"/>
    <w:rsid w:val="004E583D"/>
    <w:rsid w:val="004E6C32"/>
    <w:rsid w:val="004E720B"/>
    <w:rsid w:val="004E790B"/>
    <w:rsid w:val="004F0796"/>
    <w:rsid w:val="004F0FDF"/>
    <w:rsid w:val="004F2420"/>
    <w:rsid w:val="004F2C94"/>
    <w:rsid w:val="004F35C4"/>
    <w:rsid w:val="004F4DAE"/>
    <w:rsid w:val="004F6334"/>
    <w:rsid w:val="004F6E7A"/>
    <w:rsid w:val="004F6FDA"/>
    <w:rsid w:val="00500839"/>
    <w:rsid w:val="00502640"/>
    <w:rsid w:val="00502A72"/>
    <w:rsid w:val="00502EA9"/>
    <w:rsid w:val="00504124"/>
    <w:rsid w:val="005049C3"/>
    <w:rsid w:val="005050E5"/>
    <w:rsid w:val="0050599E"/>
    <w:rsid w:val="005064D2"/>
    <w:rsid w:val="00506D16"/>
    <w:rsid w:val="005079E5"/>
    <w:rsid w:val="0051038C"/>
    <w:rsid w:val="00511A8D"/>
    <w:rsid w:val="00514BFD"/>
    <w:rsid w:val="005153B6"/>
    <w:rsid w:val="00516304"/>
    <w:rsid w:val="00517289"/>
    <w:rsid w:val="00517DC0"/>
    <w:rsid w:val="00520B04"/>
    <w:rsid w:val="00520B70"/>
    <w:rsid w:val="00520F0F"/>
    <w:rsid w:val="005210D3"/>
    <w:rsid w:val="00521ABD"/>
    <w:rsid w:val="00522B13"/>
    <w:rsid w:val="00523214"/>
    <w:rsid w:val="0052437D"/>
    <w:rsid w:val="0052583F"/>
    <w:rsid w:val="00526413"/>
    <w:rsid w:val="005273CB"/>
    <w:rsid w:val="00527AEF"/>
    <w:rsid w:val="00527E14"/>
    <w:rsid w:val="00530AF2"/>
    <w:rsid w:val="00530E01"/>
    <w:rsid w:val="00533451"/>
    <w:rsid w:val="005335DE"/>
    <w:rsid w:val="0053368D"/>
    <w:rsid w:val="005337C7"/>
    <w:rsid w:val="0053677E"/>
    <w:rsid w:val="00536A62"/>
    <w:rsid w:val="00536A6A"/>
    <w:rsid w:val="005379B2"/>
    <w:rsid w:val="00540558"/>
    <w:rsid w:val="00540637"/>
    <w:rsid w:val="00543120"/>
    <w:rsid w:val="005439E7"/>
    <w:rsid w:val="00544EB3"/>
    <w:rsid w:val="0054616B"/>
    <w:rsid w:val="0054619B"/>
    <w:rsid w:val="00546941"/>
    <w:rsid w:val="00546D4B"/>
    <w:rsid w:val="00547A8B"/>
    <w:rsid w:val="005500F2"/>
    <w:rsid w:val="0055157B"/>
    <w:rsid w:val="00551F81"/>
    <w:rsid w:val="005521E7"/>
    <w:rsid w:val="00553839"/>
    <w:rsid w:val="00553D6E"/>
    <w:rsid w:val="00553DF3"/>
    <w:rsid w:val="005541A7"/>
    <w:rsid w:val="005542F5"/>
    <w:rsid w:val="00555335"/>
    <w:rsid w:val="00555CF6"/>
    <w:rsid w:val="0055635A"/>
    <w:rsid w:val="005578B8"/>
    <w:rsid w:val="00557DC3"/>
    <w:rsid w:val="00561600"/>
    <w:rsid w:val="005626A1"/>
    <w:rsid w:val="0056284D"/>
    <w:rsid w:val="0056293E"/>
    <w:rsid w:val="00562C10"/>
    <w:rsid w:val="0056369F"/>
    <w:rsid w:val="00563EF3"/>
    <w:rsid w:val="0056512E"/>
    <w:rsid w:val="00565CFC"/>
    <w:rsid w:val="00565FAB"/>
    <w:rsid w:val="0056768B"/>
    <w:rsid w:val="005676C6"/>
    <w:rsid w:val="005706EE"/>
    <w:rsid w:val="00572A33"/>
    <w:rsid w:val="00572ADB"/>
    <w:rsid w:val="005758F1"/>
    <w:rsid w:val="0057598C"/>
    <w:rsid w:val="005771F4"/>
    <w:rsid w:val="00577D09"/>
    <w:rsid w:val="0058084C"/>
    <w:rsid w:val="00580AF6"/>
    <w:rsid w:val="00581312"/>
    <w:rsid w:val="00582EC7"/>
    <w:rsid w:val="0058379E"/>
    <w:rsid w:val="005840DD"/>
    <w:rsid w:val="00585BCB"/>
    <w:rsid w:val="00586DF6"/>
    <w:rsid w:val="005872EF"/>
    <w:rsid w:val="0058762F"/>
    <w:rsid w:val="005877D1"/>
    <w:rsid w:val="00587DDE"/>
    <w:rsid w:val="00591209"/>
    <w:rsid w:val="00592217"/>
    <w:rsid w:val="00592313"/>
    <w:rsid w:val="005923A1"/>
    <w:rsid w:val="00592736"/>
    <w:rsid w:val="00592CDD"/>
    <w:rsid w:val="00593EAC"/>
    <w:rsid w:val="005946B1"/>
    <w:rsid w:val="00594F24"/>
    <w:rsid w:val="0059631F"/>
    <w:rsid w:val="0059727D"/>
    <w:rsid w:val="00597E76"/>
    <w:rsid w:val="005A044F"/>
    <w:rsid w:val="005A09E8"/>
    <w:rsid w:val="005A0A08"/>
    <w:rsid w:val="005A11D5"/>
    <w:rsid w:val="005A2079"/>
    <w:rsid w:val="005A20FE"/>
    <w:rsid w:val="005A4FAF"/>
    <w:rsid w:val="005A540B"/>
    <w:rsid w:val="005A5F1C"/>
    <w:rsid w:val="005A6064"/>
    <w:rsid w:val="005A6829"/>
    <w:rsid w:val="005A7355"/>
    <w:rsid w:val="005B03FC"/>
    <w:rsid w:val="005B055D"/>
    <w:rsid w:val="005B0C82"/>
    <w:rsid w:val="005B233C"/>
    <w:rsid w:val="005B2855"/>
    <w:rsid w:val="005B2A33"/>
    <w:rsid w:val="005B2ED7"/>
    <w:rsid w:val="005B3875"/>
    <w:rsid w:val="005B38FC"/>
    <w:rsid w:val="005B5089"/>
    <w:rsid w:val="005B58CD"/>
    <w:rsid w:val="005B5F00"/>
    <w:rsid w:val="005B6DAF"/>
    <w:rsid w:val="005B74F8"/>
    <w:rsid w:val="005B7650"/>
    <w:rsid w:val="005B7C12"/>
    <w:rsid w:val="005C0420"/>
    <w:rsid w:val="005C0635"/>
    <w:rsid w:val="005C1DB1"/>
    <w:rsid w:val="005C2C08"/>
    <w:rsid w:val="005C3074"/>
    <w:rsid w:val="005C3583"/>
    <w:rsid w:val="005C35E9"/>
    <w:rsid w:val="005C55AF"/>
    <w:rsid w:val="005C56FC"/>
    <w:rsid w:val="005C5BC9"/>
    <w:rsid w:val="005C5FEE"/>
    <w:rsid w:val="005C68B2"/>
    <w:rsid w:val="005C7817"/>
    <w:rsid w:val="005D001B"/>
    <w:rsid w:val="005D015D"/>
    <w:rsid w:val="005D019E"/>
    <w:rsid w:val="005D0878"/>
    <w:rsid w:val="005D2E6C"/>
    <w:rsid w:val="005D4221"/>
    <w:rsid w:val="005D4494"/>
    <w:rsid w:val="005D4586"/>
    <w:rsid w:val="005D563F"/>
    <w:rsid w:val="005D612D"/>
    <w:rsid w:val="005D6198"/>
    <w:rsid w:val="005E03CE"/>
    <w:rsid w:val="005E0F1A"/>
    <w:rsid w:val="005E14A9"/>
    <w:rsid w:val="005E2A95"/>
    <w:rsid w:val="005E2CFA"/>
    <w:rsid w:val="005E41D0"/>
    <w:rsid w:val="005E59D0"/>
    <w:rsid w:val="005E604B"/>
    <w:rsid w:val="005E620E"/>
    <w:rsid w:val="005E6EE1"/>
    <w:rsid w:val="005F2C6E"/>
    <w:rsid w:val="005F32FC"/>
    <w:rsid w:val="005F54A7"/>
    <w:rsid w:val="005F5737"/>
    <w:rsid w:val="005F5E92"/>
    <w:rsid w:val="005F7081"/>
    <w:rsid w:val="0060233C"/>
    <w:rsid w:val="00602FA8"/>
    <w:rsid w:val="006055F9"/>
    <w:rsid w:val="006062F2"/>
    <w:rsid w:val="0060655F"/>
    <w:rsid w:val="00606A2F"/>
    <w:rsid w:val="00606AEC"/>
    <w:rsid w:val="00606C10"/>
    <w:rsid w:val="006102DA"/>
    <w:rsid w:val="00611DE2"/>
    <w:rsid w:val="00612297"/>
    <w:rsid w:val="006142E3"/>
    <w:rsid w:val="00614941"/>
    <w:rsid w:val="00617292"/>
    <w:rsid w:val="00617DC4"/>
    <w:rsid w:val="00621E22"/>
    <w:rsid w:val="00621EAE"/>
    <w:rsid w:val="00623C8B"/>
    <w:rsid w:val="00623F3C"/>
    <w:rsid w:val="00624BE4"/>
    <w:rsid w:val="006265FC"/>
    <w:rsid w:val="00626F75"/>
    <w:rsid w:val="0062797D"/>
    <w:rsid w:val="00627A96"/>
    <w:rsid w:val="00627CB5"/>
    <w:rsid w:val="00631928"/>
    <w:rsid w:val="006333FF"/>
    <w:rsid w:val="0063494D"/>
    <w:rsid w:val="00634B7E"/>
    <w:rsid w:val="00634CAA"/>
    <w:rsid w:val="00636CFB"/>
    <w:rsid w:val="00637218"/>
    <w:rsid w:val="0063737D"/>
    <w:rsid w:val="00640961"/>
    <w:rsid w:val="0064136B"/>
    <w:rsid w:val="00641FC7"/>
    <w:rsid w:val="00643C76"/>
    <w:rsid w:val="00644C74"/>
    <w:rsid w:val="0064576C"/>
    <w:rsid w:val="00645D16"/>
    <w:rsid w:val="00645E13"/>
    <w:rsid w:val="0064616A"/>
    <w:rsid w:val="00646768"/>
    <w:rsid w:val="00646C21"/>
    <w:rsid w:val="0064734C"/>
    <w:rsid w:val="00650D3C"/>
    <w:rsid w:val="006517CB"/>
    <w:rsid w:val="00651912"/>
    <w:rsid w:val="00651DC8"/>
    <w:rsid w:val="00652432"/>
    <w:rsid w:val="00655371"/>
    <w:rsid w:val="00655D4F"/>
    <w:rsid w:val="006563BA"/>
    <w:rsid w:val="00657BAD"/>
    <w:rsid w:val="00660637"/>
    <w:rsid w:val="006607B3"/>
    <w:rsid w:val="00661A7A"/>
    <w:rsid w:val="00661BE4"/>
    <w:rsid w:val="006639C3"/>
    <w:rsid w:val="0066492C"/>
    <w:rsid w:val="00664A4A"/>
    <w:rsid w:val="00666033"/>
    <w:rsid w:val="00667644"/>
    <w:rsid w:val="00670060"/>
    <w:rsid w:val="00670917"/>
    <w:rsid w:val="00671E14"/>
    <w:rsid w:val="006749CB"/>
    <w:rsid w:val="006751E8"/>
    <w:rsid w:val="006755B9"/>
    <w:rsid w:val="00677418"/>
    <w:rsid w:val="00677A62"/>
    <w:rsid w:val="00677AAE"/>
    <w:rsid w:val="00677EE9"/>
    <w:rsid w:val="00682FCA"/>
    <w:rsid w:val="00683E88"/>
    <w:rsid w:val="006845DD"/>
    <w:rsid w:val="006849AC"/>
    <w:rsid w:val="00684DBA"/>
    <w:rsid w:val="00686026"/>
    <w:rsid w:val="00687FEF"/>
    <w:rsid w:val="006901E2"/>
    <w:rsid w:val="00691066"/>
    <w:rsid w:val="00691299"/>
    <w:rsid w:val="00691838"/>
    <w:rsid w:val="00691880"/>
    <w:rsid w:val="00691C52"/>
    <w:rsid w:val="00692B6E"/>
    <w:rsid w:val="00693335"/>
    <w:rsid w:val="006935D7"/>
    <w:rsid w:val="00693704"/>
    <w:rsid w:val="0069387A"/>
    <w:rsid w:val="00694C90"/>
    <w:rsid w:val="006977EB"/>
    <w:rsid w:val="00697C8F"/>
    <w:rsid w:val="006A0249"/>
    <w:rsid w:val="006A0589"/>
    <w:rsid w:val="006A087D"/>
    <w:rsid w:val="006A09D6"/>
    <w:rsid w:val="006A13B2"/>
    <w:rsid w:val="006A2BF1"/>
    <w:rsid w:val="006A359C"/>
    <w:rsid w:val="006A3BAA"/>
    <w:rsid w:val="006A5D4C"/>
    <w:rsid w:val="006B04EF"/>
    <w:rsid w:val="006B099A"/>
    <w:rsid w:val="006B1CA8"/>
    <w:rsid w:val="006B1CF1"/>
    <w:rsid w:val="006B1F35"/>
    <w:rsid w:val="006B3290"/>
    <w:rsid w:val="006B4B0A"/>
    <w:rsid w:val="006B6F71"/>
    <w:rsid w:val="006B7A20"/>
    <w:rsid w:val="006C0470"/>
    <w:rsid w:val="006C101A"/>
    <w:rsid w:val="006C25B3"/>
    <w:rsid w:val="006C27F1"/>
    <w:rsid w:val="006C2DBD"/>
    <w:rsid w:val="006C2DCC"/>
    <w:rsid w:val="006C36AC"/>
    <w:rsid w:val="006C4B79"/>
    <w:rsid w:val="006C5A24"/>
    <w:rsid w:val="006C6120"/>
    <w:rsid w:val="006C7850"/>
    <w:rsid w:val="006D0B6B"/>
    <w:rsid w:val="006D160D"/>
    <w:rsid w:val="006D272D"/>
    <w:rsid w:val="006D3BE1"/>
    <w:rsid w:val="006D4D6C"/>
    <w:rsid w:val="006D51B0"/>
    <w:rsid w:val="006D520F"/>
    <w:rsid w:val="006E0E49"/>
    <w:rsid w:val="006E1EB5"/>
    <w:rsid w:val="006E241F"/>
    <w:rsid w:val="006E29FC"/>
    <w:rsid w:val="006E2C40"/>
    <w:rsid w:val="006E3219"/>
    <w:rsid w:val="006E46C8"/>
    <w:rsid w:val="006E5D97"/>
    <w:rsid w:val="006E7F51"/>
    <w:rsid w:val="006F0314"/>
    <w:rsid w:val="006F1C7C"/>
    <w:rsid w:val="006F2615"/>
    <w:rsid w:val="006F3953"/>
    <w:rsid w:val="006F45EB"/>
    <w:rsid w:val="006F65A0"/>
    <w:rsid w:val="006F71B3"/>
    <w:rsid w:val="00702348"/>
    <w:rsid w:val="007028A9"/>
    <w:rsid w:val="00704B17"/>
    <w:rsid w:val="00704B3E"/>
    <w:rsid w:val="0070625B"/>
    <w:rsid w:val="00706C2A"/>
    <w:rsid w:val="00706C2B"/>
    <w:rsid w:val="00707106"/>
    <w:rsid w:val="007078D8"/>
    <w:rsid w:val="00711808"/>
    <w:rsid w:val="00711AE0"/>
    <w:rsid w:val="007129FE"/>
    <w:rsid w:val="00712B01"/>
    <w:rsid w:val="00712F46"/>
    <w:rsid w:val="00714C41"/>
    <w:rsid w:val="00715213"/>
    <w:rsid w:val="007155C7"/>
    <w:rsid w:val="00715CD2"/>
    <w:rsid w:val="0071604E"/>
    <w:rsid w:val="007161B6"/>
    <w:rsid w:val="00716952"/>
    <w:rsid w:val="0071746C"/>
    <w:rsid w:val="00717C21"/>
    <w:rsid w:val="00717DB5"/>
    <w:rsid w:val="00717DE6"/>
    <w:rsid w:val="007209D2"/>
    <w:rsid w:val="00720B0A"/>
    <w:rsid w:val="00722148"/>
    <w:rsid w:val="00722B50"/>
    <w:rsid w:val="00723063"/>
    <w:rsid w:val="007235E8"/>
    <w:rsid w:val="00723A67"/>
    <w:rsid w:val="00723FDB"/>
    <w:rsid w:val="00724771"/>
    <w:rsid w:val="00726FD9"/>
    <w:rsid w:val="007272D1"/>
    <w:rsid w:val="00727A62"/>
    <w:rsid w:val="00730047"/>
    <w:rsid w:val="00730C19"/>
    <w:rsid w:val="00730DA8"/>
    <w:rsid w:val="007312D0"/>
    <w:rsid w:val="007333AD"/>
    <w:rsid w:val="0073340E"/>
    <w:rsid w:val="0073473B"/>
    <w:rsid w:val="00734A0C"/>
    <w:rsid w:val="0073648A"/>
    <w:rsid w:val="00741031"/>
    <w:rsid w:val="00741D65"/>
    <w:rsid w:val="00743BB9"/>
    <w:rsid w:val="00743FC8"/>
    <w:rsid w:val="007440AC"/>
    <w:rsid w:val="00744CB4"/>
    <w:rsid w:val="0074501A"/>
    <w:rsid w:val="00745CC7"/>
    <w:rsid w:val="007460E6"/>
    <w:rsid w:val="00746653"/>
    <w:rsid w:val="00746CCE"/>
    <w:rsid w:val="00750F15"/>
    <w:rsid w:val="0075102D"/>
    <w:rsid w:val="00752F00"/>
    <w:rsid w:val="00753CB6"/>
    <w:rsid w:val="00753E9D"/>
    <w:rsid w:val="0075561F"/>
    <w:rsid w:val="00757F1A"/>
    <w:rsid w:val="00760265"/>
    <w:rsid w:val="00761619"/>
    <w:rsid w:val="00762E90"/>
    <w:rsid w:val="00764623"/>
    <w:rsid w:val="007665B3"/>
    <w:rsid w:val="0076675B"/>
    <w:rsid w:val="00767043"/>
    <w:rsid w:val="0076715A"/>
    <w:rsid w:val="007676F3"/>
    <w:rsid w:val="00767E14"/>
    <w:rsid w:val="0077044D"/>
    <w:rsid w:val="00770B39"/>
    <w:rsid w:val="007715A2"/>
    <w:rsid w:val="007724CE"/>
    <w:rsid w:val="00772D8B"/>
    <w:rsid w:val="007735E3"/>
    <w:rsid w:val="0077446D"/>
    <w:rsid w:val="00774796"/>
    <w:rsid w:val="0077499D"/>
    <w:rsid w:val="00774DEC"/>
    <w:rsid w:val="00774F02"/>
    <w:rsid w:val="00775340"/>
    <w:rsid w:val="00775C8A"/>
    <w:rsid w:val="00775E56"/>
    <w:rsid w:val="007767D4"/>
    <w:rsid w:val="00780741"/>
    <w:rsid w:val="00780DA7"/>
    <w:rsid w:val="007839C3"/>
    <w:rsid w:val="00783EED"/>
    <w:rsid w:val="00785B92"/>
    <w:rsid w:val="00790422"/>
    <w:rsid w:val="00790BB0"/>
    <w:rsid w:val="00791826"/>
    <w:rsid w:val="00791B65"/>
    <w:rsid w:val="00792F87"/>
    <w:rsid w:val="00793A5C"/>
    <w:rsid w:val="00794E2A"/>
    <w:rsid w:val="00795D8B"/>
    <w:rsid w:val="00796498"/>
    <w:rsid w:val="007A114D"/>
    <w:rsid w:val="007A170C"/>
    <w:rsid w:val="007A2E76"/>
    <w:rsid w:val="007A3220"/>
    <w:rsid w:val="007A41AB"/>
    <w:rsid w:val="007A623C"/>
    <w:rsid w:val="007A6CA9"/>
    <w:rsid w:val="007A6CAC"/>
    <w:rsid w:val="007A6E6B"/>
    <w:rsid w:val="007B0A59"/>
    <w:rsid w:val="007B0FB0"/>
    <w:rsid w:val="007B1562"/>
    <w:rsid w:val="007B27EE"/>
    <w:rsid w:val="007B2981"/>
    <w:rsid w:val="007B3814"/>
    <w:rsid w:val="007B38E0"/>
    <w:rsid w:val="007B4D26"/>
    <w:rsid w:val="007B4D52"/>
    <w:rsid w:val="007B6F0D"/>
    <w:rsid w:val="007C041B"/>
    <w:rsid w:val="007C1B53"/>
    <w:rsid w:val="007C1D6C"/>
    <w:rsid w:val="007C228D"/>
    <w:rsid w:val="007C23B1"/>
    <w:rsid w:val="007C3A70"/>
    <w:rsid w:val="007C4B03"/>
    <w:rsid w:val="007C653F"/>
    <w:rsid w:val="007C7AA2"/>
    <w:rsid w:val="007D03DC"/>
    <w:rsid w:val="007D0E15"/>
    <w:rsid w:val="007D3246"/>
    <w:rsid w:val="007D433F"/>
    <w:rsid w:val="007D59DB"/>
    <w:rsid w:val="007D5CDD"/>
    <w:rsid w:val="007D5E33"/>
    <w:rsid w:val="007D63F4"/>
    <w:rsid w:val="007D6A8A"/>
    <w:rsid w:val="007D7B0F"/>
    <w:rsid w:val="007D7C61"/>
    <w:rsid w:val="007E0578"/>
    <w:rsid w:val="007E0AF6"/>
    <w:rsid w:val="007E194A"/>
    <w:rsid w:val="007E3419"/>
    <w:rsid w:val="007E4F15"/>
    <w:rsid w:val="007E6054"/>
    <w:rsid w:val="007E631E"/>
    <w:rsid w:val="007E725A"/>
    <w:rsid w:val="007F041A"/>
    <w:rsid w:val="007F151F"/>
    <w:rsid w:val="007F1C89"/>
    <w:rsid w:val="007F1DC4"/>
    <w:rsid w:val="007F3BC2"/>
    <w:rsid w:val="007F57E1"/>
    <w:rsid w:val="007F6394"/>
    <w:rsid w:val="007F75C4"/>
    <w:rsid w:val="00801793"/>
    <w:rsid w:val="00801A7E"/>
    <w:rsid w:val="00802195"/>
    <w:rsid w:val="008028E3"/>
    <w:rsid w:val="00802A80"/>
    <w:rsid w:val="008032F3"/>
    <w:rsid w:val="00804ABC"/>
    <w:rsid w:val="008059E8"/>
    <w:rsid w:val="00806D26"/>
    <w:rsid w:val="008112EF"/>
    <w:rsid w:val="00811E68"/>
    <w:rsid w:val="008120DE"/>
    <w:rsid w:val="0081344D"/>
    <w:rsid w:val="0081359E"/>
    <w:rsid w:val="008142A4"/>
    <w:rsid w:val="00814BB2"/>
    <w:rsid w:val="008176C3"/>
    <w:rsid w:val="0082117B"/>
    <w:rsid w:val="00821F1C"/>
    <w:rsid w:val="0082336B"/>
    <w:rsid w:val="0082454A"/>
    <w:rsid w:val="0082559C"/>
    <w:rsid w:val="00826600"/>
    <w:rsid w:val="00827BAA"/>
    <w:rsid w:val="008303C5"/>
    <w:rsid w:val="00830A10"/>
    <w:rsid w:val="008316FE"/>
    <w:rsid w:val="00833987"/>
    <w:rsid w:val="00834483"/>
    <w:rsid w:val="008362F0"/>
    <w:rsid w:val="00840CC7"/>
    <w:rsid w:val="00840E26"/>
    <w:rsid w:val="008411BE"/>
    <w:rsid w:val="00841794"/>
    <w:rsid w:val="008456C1"/>
    <w:rsid w:val="00845FB9"/>
    <w:rsid w:val="008460A8"/>
    <w:rsid w:val="00847EA4"/>
    <w:rsid w:val="00847F59"/>
    <w:rsid w:val="00851941"/>
    <w:rsid w:val="0085210C"/>
    <w:rsid w:val="00853230"/>
    <w:rsid w:val="00853ABF"/>
    <w:rsid w:val="00853F3D"/>
    <w:rsid w:val="008564A3"/>
    <w:rsid w:val="00857BD8"/>
    <w:rsid w:val="008605F2"/>
    <w:rsid w:val="00861DC6"/>
    <w:rsid w:val="008639DD"/>
    <w:rsid w:val="00863D41"/>
    <w:rsid w:val="00863E15"/>
    <w:rsid w:val="00863FAE"/>
    <w:rsid w:val="00864C97"/>
    <w:rsid w:val="00865FED"/>
    <w:rsid w:val="0086790C"/>
    <w:rsid w:val="00871AF2"/>
    <w:rsid w:val="00873C93"/>
    <w:rsid w:val="00874026"/>
    <w:rsid w:val="0087408F"/>
    <w:rsid w:val="00874911"/>
    <w:rsid w:val="00874C93"/>
    <w:rsid w:val="008759B3"/>
    <w:rsid w:val="00876E3C"/>
    <w:rsid w:val="008816BD"/>
    <w:rsid w:val="00882C93"/>
    <w:rsid w:val="00883B5C"/>
    <w:rsid w:val="00884DA6"/>
    <w:rsid w:val="00886A43"/>
    <w:rsid w:val="0088706D"/>
    <w:rsid w:val="008878E2"/>
    <w:rsid w:val="00891364"/>
    <w:rsid w:val="00891C6D"/>
    <w:rsid w:val="008936A7"/>
    <w:rsid w:val="00893837"/>
    <w:rsid w:val="00893B4A"/>
    <w:rsid w:val="00895501"/>
    <w:rsid w:val="00895FB1"/>
    <w:rsid w:val="00896C15"/>
    <w:rsid w:val="0089764F"/>
    <w:rsid w:val="008A170F"/>
    <w:rsid w:val="008A32B3"/>
    <w:rsid w:val="008A3F98"/>
    <w:rsid w:val="008A6207"/>
    <w:rsid w:val="008A67CA"/>
    <w:rsid w:val="008A70DF"/>
    <w:rsid w:val="008A7CAD"/>
    <w:rsid w:val="008B0ABF"/>
    <w:rsid w:val="008B17F8"/>
    <w:rsid w:val="008B25AC"/>
    <w:rsid w:val="008B2C37"/>
    <w:rsid w:val="008B2D61"/>
    <w:rsid w:val="008B3303"/>
    <w:rsid w:val="008B5293"/>
    <w:rsid w:val="008B5519"/>
    <w:rsid w:val="008B5541"/>
    <w:rsid w:val="008B5A8D"/>
    <w:rsid w:val="008B5AA2"/>
    <w:rsid w:val="008B6F68"/>
    <w:rsid w:val="008C0474"/>
    <w:rsid w:val="008C12B8"/>
    <w:rsid w:val="008C2CC8"/>
    <w:rsid w:val="008C3449"/>
    <w:rsid w:val="008C3810"/>
    <w:rsid w:val="008C3BB3"/>
    <w:rsid w:val="008C49F0"/>
    <w:rsid w:val="008D0AF8"/>
    <w:rsid w:val="008D0CE6"/>
    <w:rsid w:val="008D15F8"/>
    <w:rsid w:val="008D2DE2"/>
    <w:rsid w:val="008D3E72"/>
    <w:rsid w:val="008D3FF7"/>
    <w:rsid w:val="008D44E8"/>
    <w:rsid w:val="008D4FBF"/>
    <w:rsid w:val="008D5970"/>
    <w:rsid w:val="008D5FC3"/>
    <w:rsid w:val="008E1EB5"/>
    <w:rsid w:val="008E21A3"/>
    <w:rsid w:val="008E61B2"/>
    <w:rsid w:val="008E671B"/>
    <w:rsid w:val="008E701C"/>
    <w:rsid w:val="008E7D10"/>
    <w:rsid w:val="008F030D"/>
    <w:rsid w:val="008F0333"/>
    <w:rsid w:val="008F0B72"/>
    <w:rsid w:val="008F340A"/>
    <w:rsid w:val="008F36FF"/>
    <w:rsid w:val="008F3F20"/>
    <w:rsid w:val="008F402F"/>
    <w:rsid w:val="008F56F7"/>
    <w:rsid w:val="008F7905"/>
    <w:rsid w:val="00900470"/>
    <w:rsid w:val="00900AD4"/>
    <w:rsid w:val="00901D8F"/>
    <w:rsid w:val="0090272D"/>
    <w:rsid w:val="009027D9"/>
    <w:rsid w:val="009034F5"/>
    <w:rsid w:val="00903B44"/>
    <w:rsid w:val="00904352"/>
    <w:rsid w:val="009049E1"/>
    <w:rsid w:val="00904A81"/>
    <w:rsid w:val="00904D8F"/>
    <w:rsid w:val="00905BA6"/>
    <w:rsid w:val="00906201"/>
    <w:rsid w:val="00910F39"/>
    <w:rsid w:val="009112E9"/>
    <w:rsid w:val="00912146"/>
    <w:rsid w:val="0091237F"/>
    <w:rsid w:val="0091269A"/>
    <w:rsid w:val="00912CBC"/>
    <w:rsid w:val="0091659C"/>
    <w:rsid w:val="00920604"/>
    <w:rsid w:val="0092127A"/>
    <w:rsid w:val="00921981"/>
    <w:rsid w:val="009221AC"/>
    <w:rsid w:val="00922282"/>
    <w:rsid w:val="00922A22"/>
    <w:rsid w:val="00922DAD"/>
    <w:rsid w:val="00922DE4"/>
    <w:rsid w:val="009231EF"/>
    <w:rsid w:val="009266AF"/>
    <w:rsid w:val="00926899"/>
    <w:rsid w:val="0092775F"/>
    <w:rsid w:val="00927A6B"/>
    <w:rsid w:val="00927B41"/>
    <w:rsid w:val="00930C4D"/>
    <w:rsid w:val="00932824"/>
    <w:rsid w:val="00932866"/>
    <w:rsid w:val="00933CD1"/>
    <w:rsid w:val="0093704A"/>
    <w:rsid w:val="00937F72"/>
    <w:rsid w:val="00940606"/>
    <w:rsid w:val="00940C20"/>
    <w:rsid w:val="00941A9F"/>
    <w:rsid w:val="0094225B"/>
    <w:rsid w:val="0094254F"/>
    <w:rsid w:val="00943D11"/>
    <w:rsid w:val="00945DFF"/>
    <w:rsid w:val="00946EDC"/>
    <w:rsid w:val="009471DF"/>
    <w:rsid w:val="00947A2D"/>
    <w:rsid w:val="00951343"/>
    <w:rsid w:val="0095184A"/>
    <w:rsid w:val="00952707"/>
    <w:rsid w:val="00953F32"/>
    <w:rsid w:val="009542BF"/>
    <w:rsid w:val="0095608D"/>
    <w:rsid w:val="0095677B"/>
    <w:rsid w:val="00956D8E"/>
    <w:rsid w:val="00957147"/>
    <w:rsid w:val="0096190E"/>
    <w:rsid w:val="00961A9C"/>
    <w:rsid w:val="00963393"/>
    <w:rsid w:val="009638FE"/>
    <w:rsid w:val="00965E03"/>
    <w:rsid w:val="00966CAE"/>
    <w:rsid w:val="00967946"/>
    <w:rsid w:val="00970349"/>
    <w:rsid w:val="00970561"/>
    <w:rsid w:val="00970587"/>
    <w:rsid w:val="0097070C"/>
    <w:rsid w:val="00970A97"/>
    <w:rsid w:val="00970E2C"/>
    <w:rsid w:val="0097664C"/>
    <w:rsid w:val="00976F7D"/>
    <w:rsid w:val="00980787"/>
    <w:rsid w:val="009815D0"/>
    <w:rsid w:val="00982020"/>
    <w:rsid w:val="009843BE"/>
    <w:rsid w:val="009854A6"/>
    <w:rsid w:val="00985A00"/>
    <w:rsid w:val="00985F18"/>
    <w:rsid w:val="00987C8C"/>
    <w:rsid w:val="0099069C"/>
    <w:rsid w:val="00990B43"/>
    <w:rsid w:val="00991E62"/>
    <w:rsid w:val="00993060"/>
    <w:rsid w:val="009931C1"/>
    <w:rsid w:val="00994344"/>
    <w:rsid w:val="0099467E"/>
    <w:rsid w:val="00994C9B"/>
    <w:rsid w:val="009950E6"/>
    <w:rsid w:val="009978AF"/>
    <w:rsid w:val="009A0300"/>
    <w:rsid w:val="009A08A2"/>
    <w:rsid w:val="009A139A"/>
    <w:rsid w:val="009A14B3"/>
    <w:rsid w:val="009A1C7B"/>
    <w:rsid w:val="009A1E5D"/>
    <w:rsid w:val="009A298D"/>
    <w:rsid w:val="009A2DEB"/>
    <w:rsid w:val="009A3513"/>
    <w:rsid w:val="009A4CAD"/>
    <w:rsid w:val="009A5DD9"/>
    <w:rsid w:val="009A5EEE"/>
    <w:rsid w:val="009A6528"/>
    <w:rsid w:val="009B047E"/>
    <w:rsid w:val="009B0995"/>
    <w:rsid w:val="009B1168"/>
    <w:rsid w:val="009B2647"/>
    <w:rsid w:val="009B28F9"/>
    <w:rsid w:val="009B377E"/>
    <w:rsid w:val="009B445C"/>
    <w:rsid w:val="009B4CF9"/>
    <w:rsid w:val="009B4E37"/>
    <w:rsid w:val="009B4ED1"/>
    <w:rsid w:val="009B529E"/>
    <w:rsid w:val="009B67DD"/>
    <w:rsid w:val="009B7612"/>
    <w:rsid w:val="009C062E"/>
    <w:rsid w:val="009C0D53"/>
    <w:rsid w:val="009C0DDE"/>
    <w:rsid w:val="009C11E5"/>
    <w:rsid w:val="009C219A"/>
    <w:rsid w:val="009C2922"/>
    <w:rsid w:val="009C3364"/>
    <w:rsid w:val="009C4388"/>
    <w:rsid w:val="009C4DB2"/>
    <w:rsid w:val="009C5A9F"/>
    <w:rsid w:val="009C66AE"/>
    <w:rsid w:val="009D017A"/>
    <w:rsid w:val="009D1054"/>
    <w:rsid w:val="009D1341"/>
    <w:rsid w:val="009D22DF"/>
    <w:rsid w:val="009D262A"/>
    <w:rsid w:val="009D2FB4"/>
    <w:rsid w:val="009D3DD7"/>
    <w:rsid w:val="009D5279"/>
    <w:rsid w:val="009D65DC"/>
    <w:rsid w:val="009D6F84"/>
    <w:rsid w:val="009E026C"/>
    <w:rsid w:val="009E1240"/>
    <w:rsid w:val="009E28F0"/>
    <w:rsid w:val="009E3BA0"/>
    <w:rsid w:val="009E4ADC"/>
    <w:rsid w:val="009E5879"/>
    <w:rsid w:val="009E5958"/>
    <w:rsid w:val="009E6F60"/>
    <w:rsid w:val="009E7FDC"/>
    <w:rsid w:val="009F0700"/>
    <w:rsid w:val="009F0C66"/>
    <w:rsid w:val="009F0D12"/>
    <w:rsid w:val="009F17E1"/>
    <w:rsid w:val="009F1A04"/>
    <w:rsid w:val="009F56F2"/>
    <w:rsid w:val="009F656D"/>
    <w:rsid w:val="009F67AA"/>
    <w:rsid w:val="009F67EF"/>
    <w:rsid w:val="009F699D"/>
    <w:rsid w:val="009F785F"/>
    <w:rsid w:val="009F7A73"/>
    <w:rsid w:val="009F7E6B"/>
    <w:rsid w:val="009F7EB5"/>
    <w:rsid w:val="00A019F1"/>
    <w:rsid w:val="00A020AF"/>
    <w:rsid w:val="00A029B8"/>
    <w:rsid w:val="00A04C7E"/>
    <w:rsid w:val="00A06AA5"/>
    <w:rsid w:val="00A06D67"/>
    <w:rsid w:val="00A075A7"/>
    <w:rsid w:val="00A07B03"/>
    <w:rsid w:val="00A109FD"/>
    <w:rsid w:val="00A10FC1"/>
    <w:rsid w:val="00A1109B"/>
    <w:rsid w:val="00A11BDD"/>
    <w:rsid w:val="00A11CAF"/>
    <w:rsid w:val="00A122CB"/>
    <w:rsid w:val="00A1266C"/>
    <w:rsid w:val="00A12B9E"/>
    <w:rsid w:val="00A13332"/>
    <w:rsid w:val="00A1390E"/>
    <w:rsid w:val="00A13928"/>
    <w:rsid w:val="00A13AF5"/>
    <w:rsid w:val="00A13BF5"/>
    <w:rsid w:val="00A1436C"/>
    <w:rsid w:val="00A144A5"/>
    <w:rsid w:val="00A1500E"/>
    <w:rsid w:val="00A15076"/>
    <w:rsid w:val="00A150B2"/>
    <w:rsid w:val="00A16D50"/>
    <w:rsid w:val="00A16E5F"/>
    <w:rsid w:val="00A17625"/>
    <w:rsid w:val="00A17A73"/>
    <w:rsid w:val="00A22A25"/>
    <w:rsid w:val="00A22E67"/>
    <w:rsid w:val="00A235AF"/>
    <w:rsid w:val="00A2591E"/>
    <w:rsid w:val="00A2628F"/>
    <w:rsid w:val="00A264A3"/>
    <w:rsid w:val="00A26540"/>
    <w:rsid w:val="00A2661B"/>
    <w:rsid w:val="00A32E65"/>
    <w:rsid w:val="00A33C62"/>
    <w:rsid w:val="00A36BBE"/>
    <w:rsid w:val="00A37A2C"/>
    <w:rsid w:val="00A37E24"/>
    <w:rsid w:val="00A400C8"/>
    <w:rsid w:val="00A40984"/>
    <w:rsid w:val="00A4216E"/>
    <w:rsid w:val="00A42568"/>
    <w:rsid w:val="00A443EF"/>
    <w:rsid w:val="00A44E4D"/>
    <w:rsid w:val="00A45D86"/>
    <w:rsid w:val="00A45EDD"/>
    <w:rsid w:val="00A467CC"/>
    <w:rsid w:val="00A46B7F"/>
    <w:rsid w:val="00A46F84"/>
    <w:rsid w:val="00A475AA"/>
    <w:rsid w:val="00A47F0E"/>
    <w:rsid w:val="00A5025F"/>
    <w:rsid w:val="00A50C4E"/>
    <w:rsid w:val="00A51C82"/>
    <w:rsid w:val="00A536D2"/>
    <w:rsid w:val="00A539CB"/>
    <w:rsid w:val="00A53DDD"/>
    <w:rsid w:val="00A54280"/>
    <w:rsid w:val="00A54749"/>
    <w:rsid w:val="00A54850"/>
    <w:rsid w:val="00A556EA"/>
    <w:rsid w:val="00A55CEE"/>
    <w:rsid w:val="00A5640C"/>
    <w:rsid w:val="00A56D46"/>
    <w:rsid w:val="00A56D62"/>
    <w:rsid w:val="00A57AA1"/>
    <w:rsid w:val="00A57F69"/>
    <w:rsid w:val="00A603D8"/>
    <w:rsid w:val="00A62B20"/>
    <w:rsid w:val="00A62FC5"/>
    <w:rsid w:val="00A63BA6"/>
    <w:rsid w:val="00A662E6"/>
    <w:rsid w:val="00A67657"/>
    <w:rsid w:val="00A7095B"/>
    <w:rsid w:val="00A70D4F"/>
    <w:rsid w:val="00A71C88"/>
    <w:rsid w:val="00A71F57"/>
    <w:rsid w:val="00A7224E"/>
    <w:rsid w:val="00A72E32"/>
    <w:rsid w:val="00A73371"/>
    <w:rsid w:val="00A74924"/>
    <w:rsid w:val="00A80B4C"/>
    <w:rsid w:val="00A814AE"/>
    <w:rsid w:val="00A82FEB"/>
    <w:rsid w:val="00A838B2"/>
    <w:rsid w:val="00A839C6"/>
    <w:rsid w:val="00A84351"/>
    <w:rsid w:val="00A847AE"/>
    <w:rsid w:val="00A84FC5"/>
    <w:rsid w:val="00A85BE6"/>
    <w:rsid w:val="00A85C5A"/>
    <w:rsid w:val="00A8613C"/>
    <w:rsid w:val="00A8623E"/>
    <w:rsid w:val="00A863AC"/>
    <w:rsid w:val="00A8733F"/>
    <w:rsid w:val="00A87B50"/>
    <w:rsid w:val="00A87E2A"/>
    <w:rsid w:val="00A92F2D"/>
    <w:rsid w:val="00A938FC"/>
    <w:rsid w:val="00A954BC"/>
    <w:rsid w:val="00A955CE"/>
    <w:rsid w:val="00A95A91"/>
    <w:rsid w:val="00A9734C"/>
    <w:rsid w:val="00A97CA5"/>
    <w:rsid w:val="00AA0327"/>
    <w:rsid w:val="00AA1628"/>
    <w:rsid w:val="00AA17A5"/>
    <w:rsid w:val="00AA2311"/>
    <w:rsid w:val="00AA258A"/>
    <w:rsid w:val="00AA4E32"/>
    <w:rsid w:val="00AA4ECE"/>
    <w:rsid w:val="00AA5036"/>
    <w:rsid w:val="00AA5B78"/>
    <w:rsid w:val="00AA66B1"/>
    <w:rsid w:val="00AA75CE"/>
    <w:rsid w:val="00AB02C8"/>
    <w:rsid w:val="00AB2047"/>
    <w:rsid w:val="00AB331B"/>
    <w:rsid w:val="00AB3960"/>
    <w:rsid w:val="00AB4096"/>
    <w:rsid w:val="00AB4706"/>
    <w:rsid w:val="00AB5EAE"/>
    <w:rsid w:val="00AB5EFD"/>
    <w:rsid w:val="00AB6D35"/>
    <w:rsid w:val="00AB7C94"/>
    <w:rsid w:val="00AC0427"/>
    <w:rsid w:val="00AC0A27"/>
    <w:rsid w:val="00AC19B0"/>
    <w:rsid w:val="00AC23EF"/>
    <w:rsid w:val="00AC34B0"/>
    <w:rsid w:val="00AC3777"/>
    <w:rsid w:val="00AC396F"/>
    <w:rsid w:val="00AC3A32"/>
    <w:rsid w:val="00AC3C24"/>
    <w:rsid w:val="00AC3E38"/>
    <w:rsid w:val="00AC4583"/>
    <w:rsid w:val="00AC49D8"/>
    <w:rsid w:val="00AC50DE"/>
    <w:rsid w:val="00AC5196"/>
    <w:rsid w:val="00AC520C"/>
    <w:rsid w:val="00AC52BC"/>
    <w:rsid w:val="00AC5E66"/>
    <w:rsid w:val="00AC754C"/>
    <w:rsid w:val="00AC785E"/>
    <w:rsid w:val="00AD1056"/>
    <w:rsid w:val="00AD2589"/>
    <w:rsid w:val="00AD3111"/>
    <w:rsid w:val="00AD50C9"/>
    <w:rsid w:val="00AD520D"/>
    <w:rsid w:val="00AD5BD3"/>
    <w:rsid w:val="00AD65E3"/>
    <w:rsid w:val="00AE086D"/>
    <w:rsid w:val="00AE22EE"/>
    <w:rsid w:val="00AE2427"/>
    <w:rsid w:val="00AE4253"/>
    <w:rsid w:val="00AE5D7E"/>
    <w:rsid w:val="00AE7F19"/>
    <w:rsid w:val="00AF1271"/>
    <w:rsid w:val="00AF439E"/>
    <w:rsid w:val="00AF452A"/>
    <w:rsid w:val="00AF4A28"/>
    <w:rsid w:val="00AF4AF0"/>
    <w:rsid w:val="00AF5F29"/>
    <w:rsid w:val="00AF6034"/>
    <w:rsid w:val="00AF6A08"/>
    <w:rsid w:val="00AF7AA3"/>
    <w:rsid w:val="00B0088F"/>
    <w:rsid w:val="00B01470"/>
    <w:rsid w:val="00B01BF2"/>
    <w:rsid w:val="00B03121"/>
    <w:rsid w:val="00B03C12"/>
    <w:rsid w:val="00B043A7"/>
    <w:rsid w:val="00B05234"/>
    <w:rsid w:val="00B06072"/>
    <w:rsid w:val="00B069F3"/>
    <w:rsid w:val="00B07640"/>
    <w:rsid w:val="00B07B43"/>
    <w:rsid w:val="00B07CD5"/>
    <w:rsid w:val="00B114DF"/>
    <w:rsid w:val="00B12B69"/>
    <w:rsid w:val="00B13A1B"/>
    <w:rsid w:val="00B13C06"/>
    <w:rsid w:val="00B14512"/>
    <w:rsid w:val="00B1535B"/>
    <w:rsid w:val="00B164DA"/>
    <w:rsid w:val="00B20C67"/>
    <w:rsid w:val="00B2185F"/>
    <w:rsid w:val="00B21B10"/>
    <w:rsid w:val="00B221FF"/>
    <w:rsid w:val="00B2379A"/>
    <w:rsid w:val="00B2385C"/>
    <w:rsid w:val="00B247B3"/>
    <w:rsid w:val="00B24B60"/>
    <w:rsid w:val="00B2552D"/>
    <w:rsid w:val="00B25EA8"/>
    <w:rsid w:val="00B265D2"/>
    <w:rsid w:val="00B267EE"/>
    <w:rsid w:val="00B30FFA"/>
    <w:rsid w:val="00B313F7"/>
    <w:rsid w:val="00B31728"/>
    <w:rsid w:val="00B34CC7"/>
    <w:rsid w:val="00B35CDF"/>
    <w:rsid w:val="00B3647C"/>
    <w:rsid w:val="00B366B4"/>
    <w:rsid w:val="00B3689F"/>
    <w:rsid w:val="00B37A85"/>
    <w:rsid w:val="00B403AF"/>
    <w:rsid w:val="00B40431"/>
    <w:rsid w:val="00B40474"/>
    <w:rsid w:val="00B40F11"/>
    <w:rsid w:val="00B411CF"/>
    <w:rsid w:val="00B42A6A"/>
    <w:rsid w:val="00B42C8E"/>
    <w:rsid w:val="00B44E32"/>
    <w:rsid w:val="00B45394"/>
    <w:rsid w:val="00B45E4D"/>
    <w:rsid w:val="00B4625D"/>
    <w:rsid w:val="00B4745E"/>
    <w:rsid w:val="00B51E35"/>
    <w:rsid w:val="00B51F41"/>
    <w:rsid w:val="00B57105"/>
    <w:rsid w:val="00B575BC"/>
    <w:rsid w:val="00B57D10"/>
    <w:rsid w:val="00B60168"/>
    <w:rsid w:val="00B6024C"/>
    <w:rsid w:val="00B60EA1"/>
    <w:rsid w:val="00B615E8"/>
    <w:rsid w:val="00B6249D"/>
    <w:rsid w:val="00B62BB4"/>
    <w:rsid w:val="00B63559"/>
    <w:rsid w:val="00B63BBA"/>
    <w:rsid w:val="00B64ACE"/>
    <w:rsid w:val="00B65071"/>
    <w:rsid w:val="00B674E9"/>
    <w:rsid w:val="00B72893"/>
    <w:rsid w:val="00B730ED"/>
    <w:rsid w:val="00B7381D"/>
    <w:rsid w:val="00B739DC"/>
    <w:rsid w:val="00B73B17"/>
    <w:rsid w:val="00B73C38"/>
    <w:rsid w:val="00B76C8D"/>
    <w:rsid w:val="00B7748B"/>
    <w:rsid w:val="00B774F2"/>
    <w:rsid w:val="00B81E70"/>
    <w:rsid w:val="00B827E6"/>
    <w:rsid w:val="00B834EC"/>
    <w:rsid w:val="00B83862"/>
    <w:rsid w:val="00B8416E"/>
    <w:rsid w:val="00B85929"/>
    <w:rsid w:val="00B85B13"/>
    <w:rsid w:val="00B862D2"/>
    <w:rsid w:val="00B869F1"/>
    <w:rsid w:val="00B86D6E"/>
    <w:rsid w:val="00B8732E"/>
    <w:rsid w:val="00B91111"/>
    <w:rsid w:val="00B91DC3"/>
    <w:rsid w:val="00B92255"/>
    <w:rsid w:val="00B93F53"/>
    <w:rsid w:val="00B94090"/>
    <w:rsid w:val="00B947C4"/>
    <w:rsid w:val="00B94DB5"/>
    <w:rsid w:val="00B95339"/>
    <w:rsid w:val="00B95C1B"/>
    <w:rsid w:val="00B95D7B"/>
    <w:rsid w:val="00B97009"/>
    <w:rsid w:val="00B97632"/>
    <w:rsid w:val="00BA13DB"/>
    <w:rsid w:val="00BA49ED"/>
    <w:rsid w:val="00BA600B"/>
    <w:rsid w:val="00BA6C57"/>
    <w:rsid w:val="00BA7321"/>
    <w:rsid w:val="00BA7AA6"/>
    <w:rsid w:val="00BB05E8"/>
    <w:rsid w:val="00BB1C4B"/>
    <w:rsid w:val="00BB2CB7"/>
    <w:rsid w:val="00BB3A1E"/>
    <w:rsid w:val="00BB3CFF"/>
    <w:rsid w:val="00BB4AA1"/>
    <w:rsid w:val="00BB74D4"/>
    <w:rsid w:val="00BC1A36"/>
    <w:rsid w:val="00BC3767"/>
    <w:rsid w:val="00BC40FF"/>
    <w:rsid w:val="00BC477B"/>
    <w:rsid w:val="00BC49D4"/>
    <w:rsid w:val="00BC54A7"/>
    <w:rsid w:val="00BC584B"/>
    <w:rsid w:val="00BC6F92"/>
    <w:rsid w:val="00BC7A60"/>
    <w:rsid w:val="00BC7FE9"/>
    <w:rsid w:val="00BD005E"/>
    <w:rsid w:val="00BD0B97"/>
    <w:rsid w:val="00BD0C8A"/>
    <w:rsid w:val="00BD130F"/>
    <w:rsid w:val="00BD2C7E"/>
    <w:rsid w:val="00BD2EC2"/>
    <w:rsid w:val="00BD395D"/>
    <w:rsid w:val="00BD5A1D"/>
    <w:rsid w:val="00BD5C20"/>
    <w:rsid w:val="00BD743A"/>
    <w:rsid w:val="00BD7EE9"/>
    <w:rsid w:val="00BE0666"/>
    <w:rsid w:val="00BE37E7"/>
    <w:rsid w:val="00BE60A5"/>
    <w:rsid w:val="00BE65D3"/>
    <w:rsid w:val="00BE6B63"/>
    <w:rsid w:val="00BE777C"/>
    <w:rsid w:val="00BF0276"/>
    <w:rsid w:val="00BF0F5D"/>
    <w:rsid w:val="00BF0F99"/>
    <w:rsid w:val="00BF14D8"/>
    <w:rsid w:val="00BF18F3"/>
    <w:rsid w:val="00BF1CCC"/>
    <w:rsid w:val="00BF1F51"/>
    <w:rsid w:val="00BF297E"/>
    <w:rsid w:val="00BF2D65"/>
    <w:rsid w:val="00BF2FE9"/>
    <w:rsid w:val="00BF452D"/>
    <w:rsid w:val="00BF5FB4"/>
    <w:rsid w:val="00BF6150"/>
    <w:rsid w:val="00C002D1"/>
    <w:rsid w:val="00C01E3C"/>
    <w:rsid w:val="00C02F3F"/>
    <w:rsid w:val="00C03D30"/>
    <w:rsid w:val="00C04D2C"/>
    <w:rsid w:val="00C069F1"/>
    <w:rsid w:val="00C06BD4"/>
    <w:rsid w:val="00C07C49"/>
    <w:rsid w:val="00C10891"/>
    <w:rsid w:val="00C1105B"/>
    <w:rsid w:val="00C12551"/>
    <w:rsid w:val="00C1656D"/>
    <w:rsid w:val="00C17381"/>
    <w:rsid w:val="00C20C08"/>
    <w:rsid w:val="00C22672"/>
    <w:rsid w:val="00C2282F"/>
    <w:rsid w:val="00C22C6A"/>
    <w:rsid w:val="00C2311C"/>
    <w:rsid w:val="00C234BF"/>
    <w:rsid w:val="00C24D18"/>
    <w:rsid w:val="00C25E9E"/>
    <w:rsid w:val="00C276F1"/>
    <w:rsid w:val="00C2790F"/>
    <w:rsid w:val="00C3012D"/>
    <w:rsid w:val="00C31475"/>
    <w:rsid w:val="00C345E4"/>
    <w:rsid w:val="00C34E6F"/>
    <w:rsid w:val="00C3733C"/>
    <w:rsid w:val="00C37EEA"/>
    <w:rsid w:val="00C40B86"/>
    <w:rsid w:val="00C413FC"/>
    <w:rsid w:val="00C43CB5"/>
    <w:rsid w:val="00C44A59"/>
    <w:rsid w:val="00C45141"/>
    <w:rsid w:val="00C462CE"/>
    <w:rsid w:val="00C4675F"/>
    <w:rsid w:val="00C46C42"/>
    <w:rsid w:val="00C47969"/>
    <w:rsid w:val="00C50D42"/>
    <w:rsid w:val="00C51622"/>
    <w:rsid w:val="00C54EFC"/>
    <w:rsid w:val="00C54F59"/>
    <w:rsid w:val="00C55319"/>
    <w:rsid w:val="00C57CE8"/>
    <w:rsid w:val="00C602AA"/>
    <w:rsid w:val="00C60881"/>
    <w:rsid w:val="00C61053"/>
    <w:rsid w:val="00C61981"/>
    <w:rsid w:val="00C62AC5"/>
    <w:rsid w:val="00C62AD7"/>
    <w:rsid w:val="00C62EE8"/>
    <w:rsid w:val="00C62FF8"/>
    <w:rsid w:val="00C632E4"/>
    <w:rsid w:val="00C63355"/>
    <w:rsid w:val="00C633AF"/>
    <w:rsid w:val="00C65284"/>
    <w:rsid w:val="00C6651F"/>
    <w:rsid w:val="00C67118"/>
    <w:rsid w:val="00C7207A"/>
    <w:rsid w:val="00C7287B"/>
    <w:rsid w:val="00C72A3B"/>
    <w:rsid w:val="00C745E9"/>
    <w:rsid w:val="00C775A2"/>
    <w:rsid w:val="00C80BD1"/>
    <w:rsid w:val="00C82938"/>
    <w:rsid w:val="00C84410"/>
    <w:rsid w:val="00C84984"/>
    <w:rsid w:val="00C84E73"/>
    <w:rsid w:val="00C85C94"/>
    <w:rsid w:val="00C863A8"/>
    <w:rsid w:val="00C87002"/>
    <w:rsid w:val="00C8743F"/>
    <w:rsid w:val="00C879D5"/>
    <w:rsid w:val="00C912A2"/>
    <w:rsid w:val="00C92657"/>
    <w:rsid w:val="00C92847"/>
    <w:rsid w:val="00C92E4F"/>
    <w:rsid w:val="00C93214"/>
    <w:rsid w:val="00C94393"/>
    <w:rsid w:val="00C9447F"/>
    <w:rsid w:val="00C94B0E"/>
    <w:rsid w:val="00C94D37"/>
    <w:rsid w:val="00C9618C"/>
    <w:rsid w:val="00C96857"/>
    <w:rsid w:val="00C97A9B"/>
    <w:rsid w:val="00C97FAC"/>
    <w:rsid w:val="00CA07D3"/>
    <w:rsid w:val="00CA1759"/>
    <w:rsid w:val="00CA4C17"/>
    <w:rsid w:val="00CA4D53"/>
    <w:rsid w:val="00CA4DA1"/>
    <w:rsid w:val="00CA55D9"/>
    <w:rsid w:val="00CA5C6C"/>
    <w:rsid w:val="00CA6CB7"/>
    <w:rsid w:val="00CA771B"/>
    <w:rsid w:val="00CB0675"/>
    <w:rsid w:val="00CB2D66"/>
    <w:rsid w:val="00CB2DCE"/>
    <w:rsid w:val="00CB34A5"/>
    <w:rsid w:val="00CB37D4"/>
    <w:rsid w:val="00CB3F2A"/>
    <w:rsid w:val="00CB4BFD"/>
    <w:rsid w:val="00CB51AA"/>
    <w:rsid w:val="00CB5C44"/>
    <w:rsid w:val="00CB5F1D"/>
    <w:rsid w:val="00CB6448"/>
    <w:rsid w:val="00CB7C76"/>
    <w:rsid w:val="00CC080C"/>
    <w:rsid w:val="00CC09F0"/>
    <w:rsid w:val="00CC4E28"/>
    <w:rsid w:val="00CC5964"/>
    <w:rsid w:val="00CC5A6B"/>
    <w:rsid w:val="00CC5E4D"/>
    <w:rsid w:val="00CC7EA3"/>
    <w:rsid w:val="00CD11C1"/>
    <w:rsid w:val="00CD1BBC"/>
    <w:rsid w:val="00CD2036"/>
    <w:rsid w:val="00CD2FBE"/>
    <w:rsid w:val="00CD423B"/>
    <w:rsid w:val="00CD51FC"/>
    <w:rsid w:val="00CD5B38"/>
    <w:rsid w:val="00CE084C"/>
    <w:rsid w:val="00CE0DB9"/>
    <w:rsid w:val="00CE0F49"/>
    <w:rsid w:val="00CE0F67"/>
    <w:rsid w:val="00CE1A57"/>
    <w:rsid w:val="00CE220C"/>
    <w:rsid w:val="00CE2643"/>
    <w:rsid w:val="00CE352B"/>
    <w:rsid w:val="00CE4CA9"/>
    <w:rsid w:val="00CE640A"/>
    <w:rsid w:val="00CE68F6"/>
    <w:rsid w:val="00CE7430"/>
    <w:rsid w:val="00CE7690"/>
    <w:rsid w:val="00CE7879"/>
    <w:rsid w:val="00CE79DD"/>
    <w:rsid w:val="00CF024A"/>
    <w:rsid w:val="00CF1C82"/>
    <w:rsid w:val="00CF222F"/>
    <w:rsid w:val="00CF23FD"/>
    <w:rsid w:val="00CF29B7"/>
    <w:rsid w:val="00CF3549"/>
    <w:rsid w:val="00CF3788"/>
    <w:rsid w:val="00CF3BC3"/>
    <w:rsid w:val="00CF4A5F"/>
    <w:rsid w:val="00CF56F4"/>
    <w:rsid w:val="00CF581D"/>
    <w:rsid w:val="00CF5A80"/>
    <w:rsid w:val="00CF5C31"/>
    <w:rsid w:val="00CF66DF"/>
    <w:rsid w:val="00CF67BF"/>
    <w:rsid w:val="00CF6C9C"/>
    <w:rsid w:val="00CF6EA8"/>
    <w:rsid w:val="00CF78FB"/>
    <w:rsid w:val="00D0046B"/>
    <w:rsid w:val="00D008A9"/>
    <w:rsid w:val="00D017FC"/>
    <w:rsid w:val="00D01D2B"/>
    <w:rsid w:val="00D025EE"/>
    <w:rsid w:val="00D02A42"/>
    <w:rsid w:val="00D02B43"/>
    <w:rsid w:val="00D02DC6"/>
    <w:rsid w:val="00D02E6F"/>
    <w:rsid w:val="00D0547A"/>
    <w:rsid w:val="00D07A3B"/>
    <w:rsid w:val="00D07DB3"/>
    <w:rsid w:val="00D104A7"/>
    <w:rsid w:val="00D1075D"/>
    <w:rsid w:val="00D112FD"/>
    <w:rsid w:val="00D1136E"/>
    <w:rsid w:val="00D11509"/>
    <w:rsid w:val="00D119A2"/>
    <w:rsid w:val="00D11BCF"/>
    <w:rsid w:val="00D141E6"/>
    <w:rsid w:val="00D144C9"/>
    <w:rsid w:val="00D14904"/>
    <w:rsid w:val="00D16FA4"/>
    <w:rsid w:val="00D17C75"/>
    <w:rsid w:val="00D20914"/>
    <w:rsid w:val="00D2224C"/>
    <w:rsid w:val="00D232A3"/>
    <w:rsid w:val="00D2343E"/>
    <w:rsid w:val="00D237EF"/>
    <w:rsid w:val="00D23BC1"/>
    <w:rsid w:val="00D24389"/>
    <w:rsid w:val="00D24483"/>
    <w:rsid w:val="00D24B20"/>
    <w:rsid w:val="00D27885"/>
    <w:rsid w:val="00D279DB"/>
    <w:rsid w:val="00D307BA"/>
    <w:rsid w:val="00D30CAF"/>
    <w:rsid w:val="00D338B2"/>
    <w:rsid w:val="00D359DF"/>
    <w:rsid w:val="00D35C18"/>
    <w:rsid w:val="00D36037"/>
    <w:rsid w:val="00D3652A"/>
    <w:rsid w:val="00D379D8"/>
    <w:rsid w:val="00D37E8E"/>
    <w:rsid w:val="00D42835"/>
    <w:rsid w:val="00D43483"/>
    <w:rsid w:val="00D439C3"/>
    <w:rsid w:val="00D44149"/>
    <w:rsid w:val="00D44174"/>
    <w:rsid w:val="00D4435A"/>
    <w:rsid w:val="00D443AF"/>
    <w:rsid w:val="00D45586"/>
    <w:rsid w:val="00D45842"/>
    <w:rsid w:val="00D515BA"/>
    <w:rsid w:val="00D52112"/>
    <w:rsid w:val="00D52F41"/>
    <w:rsid w:val="00D53963"/>
    <w:rsid w:val="00D53C56"/>
    <w:rsid w:val="00D53FA5"/>
    <w:rsid w:val="00D54172"/>
    <w:rsid w:val="00D54403"/>
    <w:rsid w:val="00D546D1"/>
    <w:rsid w:val="00D6081C"/>
    <w:rsid w:val="00D60851"/>
    <w:rsid w:val="00D61E6E"/>
    <w:rsid w:val="00D61EF2"/>
    <w:rsid w:val="00D62939"/>
    <w:rsid w:val="00D62C29"/>
    <w:rsid w:val="00D64060"/>
    <w:rsid w:val="00D65D23"/>
    <w:rsid w:val="00D670E8"/>
    <w:rsid w:val="00D67B48"/>
    <w:rsid w:val="00D702F9"/>
    <w:rsid w:val="00D71FC8"/>
    <w:rsid w:val="00D73655"/>
    <w:rsid w:val="00D75E1E"/>
    <w:rsid w:val="00D76A32"/>
    <w:rsid w:val="00D80007"/>
    <w:rsid w:val="00D840E8"/>
    <w:rsid w:val="00D86EF2"/>
    <w:rsid w:val="00D87923"/>
    <w:rsid w:val="00D87D49"/>
    <w:rsid w:val="00D90048"/>
    <w:rsid w:val="00D90BAA"/>
    <w:rsid w:val="00D9274F"/>
    <w:rsid w:val="00D928E9"/>
    <w:rsid w:val="00D9354A"/>
    <w:rsid w:val="00D94FBA"/>
    <w:rsid w:val="00D9789E"/>
    <w:rsid w:val="00DA10A2"/>
    <w:rsid w:val="00DA16FC"/>
    <w:rsid w:val="00DA18DC"/>
    <w:rsid w:val="00DA2133"/>
    <w:rsid w:val="00DA2B30"/>
    <w:rsid w:val="00DA42B7"/>
    <w:rsid w:val="00DA479A"/>
    <w:rsid w:val="00DA715E"/>
    <w:rsid w:val="00DB179D"/>
    <w:rsid w:val="00DB1853"/>
    <w:rsid w:val="00DB2892"/>
    <w:rsid w:val="00DB38A5"/>
    <w:rsid w:val="00DB3D07"/>
    <w:rsid w:val="00DB43BF"/>
    <w:rsid w:val="00DB518D"/>
    <w:rsid w:val="00DB67E6"/>
    <w:rsid w:val="00DB7274"/>
    <w:rsid w:val="00DB733A"/>
    <w:rsid w:val="00DB7A9C"/>
    <w:rsid w:val="00DC18CA"/>
    <w:rsid w:val="00DC1C50"/>
    <w:rsid w:val="00DC3300"/>
    <w:rsid w:val="00DC47C1"/>
    <w:rsid w:val="00DC55DD"/>
    <w:rsid w:val="00DC58DA"/>
    <w:rsid w:val="00DC5B7A"/>
    <w:rsid w:val="00DC6435"/>
    <w:rsid w:val="00DC6BEB"/>
    <w:rsid w:val="00DC77EA"/>
    <w:rsid w:val="00DC7A9E"/>
    <w:rsid w:val="00DC7BEF"/>
    <w:rsid w:val="00DD062D"/>
    <w:rsid w:val="00DD0A04"/>
    <w:rsid w:val="00DD1AA1"/>
    <w:rsid w:val="00DD20A7"/>
    <w:rsid w:val="00DD4A23"/>
    <w:rsid w:val="00DD5E81"/>
    <w:rsid w:val="00DD6481"/>
    <w:rsid w:val="00DD73CA"/>
    <w:rsid w:val="00DE2886"/>
    <w:rsid w:val="00DE36A5"/>
    <w:rsid w:val="00DE4FFE"/>
    <w:rsid w:val="00DE6124"/>
    <w:rsid w:val="00DE6714"/>
    <w:rsid w:val="00DE6DB7"/>
    <w:rsid w:val="00DE703B"/>
    <w:rsid w:val="00DE71AA"/>
    <w:rsid w:val="00DE7F33"/>
    <w:rsid w:val="00DF0098"/>
    <w:rsid w:val="00DF1D6F"/>
    <w:rsid w:val="00DF2E92"/>
    <w:rsid w:val="00DF3456"/>
    <w:rsid w:val="00DF4627"/>
    <w:rsid w:val="00DF47AF"/>
    <w:rsid w:val="00DF4B49"/>
    <w:rsid w:val="00DF58E7"/>
    <w:rsid w:val="00DF68BC"/>
    <w:rsid w:val="00DF7029"/>
    <w:rsid w:val="00E0000A"/>
    <w:rsid w:val="00E00F49"/>
    <w:rsid w:val="00E01641"/>
    <w:rsid w:val="00E0385C"/>
    <w:rsid w:val="00E040D6"/>
    <w:rsid w:val="00E041E0"/>
    <w:rsid w:val="00E04262"/>
    <w:rsid w:val="00E0428A"/>
    <w:rsid w:val="00E048D1"/>
    <w:rsid w:val="00E04A22"/>
    <w:rsid w:val="00E053D6"/>
    <w:rsid w:val="00E06719"/>
    <w:rsid w:val="00E074F3"/>
    <w:rsid w:val="00E10247"/>
    <w:rsid w:val="00E10340"/>
    <w:rsid w:val="00E122E1"/>
    <w:rsid w:val="00E12F5D"/>
    <w:rsid w:val="00E13BBD"/>
    <w:rsid w:val="00E1468F"/>
    <w:rsid w:val="00E152CC"/>
    <w:rsid w:val="00E1644E"/>
    <w:rsid w:val="00E17DE9"/>
    <w:rsid w:val="00E2028F"/>
    <w:rsid w:val="00E20309"/>
    <w:rsid w:val="00E20A17"/>
    <w:rsid w:val="00E20E09"/>
    <w:rsid w:val="00E217C8"/>
    <w:rsid w:val="00E22435"/>
    <w:rsid w:val="00E227E8"/>
    <w:rsid w:val="00E22AD0"/>
    <w:rsid w:val="00E22B1E"/>
    <w:rsid w:val="00E24393"/>
    <w:rsid w:val="00E263D6"/>
    <w:rsid w:val="00E277BC"/>
    <w:rsid w:val="00E27D3F"/>
    <w:rsid w:val="00E300C2"/>
    <w:rsid w:val="00E32361"/>
    <w:rsid w:val="00E32A2E"/>
    <w:rsid w:val="00E343E4"/>
    <w:rsid w:val="00E34A59"/>
    <w:rsid w:val="00E34F29"/>
    <w:rsid w:val="00E354EC"/>
    <w:rsid w:val="00E35825"/>
    <w:rsid w:val="00E358F4"/>
    <w:rsid w:val="00E35C5D"/>
    <w:rsid w:val="00E365DD"/>
    <w:rsid w:val="00E376BB"/>
    <w:rsid w:val="00E37B14"/>
    <w:rsid w:val="00E37BEE"/>
    <w:rsid w:val="00E37EDB"/>
    <w:rsid w:val="00E4005A"/>
    <w:rsid w:val="00E40569"/>
    <w:rsid w:val="00E41AD1"/>
    <w:rsid w:val="00E42508"/>
    <w:rsid w:val="00E432F5"/>
    <w:rsid w:val="00E438A3"/>
    <w:rsid w:val="00E439F9"/>
    <w:rsid w:val="00E44D74"/>
    <w:rsid w:val="00E461D4"/>
    <w:rsid w:val="00E501E0"/>
    <w:rsid w:val="00E511AA"/>
    <w:rsid w:val="00E529E9"/>
    <w:rsid w:val="00E5328D"/>
    <w:rsid w:val="00E5331B"/>
    <w:rsid w:val="00E536C2"/>
    <w:rsid w:val="00E53E62"/>
    <w:rsid w:val="00E54135"/>
    <w:rsid w:val="00E55043"/>
    <w:rsid w:val="00E55806"/>
    <w:rsid w:val="00E561BD"/>
    <w:rsid w:val="00E56780"/>
    <w:rsid w:val="00E56C20"/>
    <w:rsid w:val="00E57529"/>
    <w:rsid w:val="00E57758"/>
    <w:rsid w:val="00E57B89"/>
    <w:rsid w:val="00E64BA9"/>
    <w:rsid w:val="00E674E2"/>
    <w:rsid w:val="00E67DE7"/>
    <w:rsid w:val="00E7031E"/>
    <w:rsid w:val="00E71FF0"/>
    <w:rsid w:val="00E73123"/>
    <w:rsid w:val="00E73253"/>
    <w:rsid w:val="00E7380D"/>
    <w:rsid w:val="00E7593F"/>
    <w:rsid w:val="00E76013"/>
    <w:rsid w:val="00E77BC6"/>
    <w:rsid w:val="00E77BD3"/>
    <w:rsid w:val="00E8011E"/>
    <w:rsid w:val="00E80783"/>
    <w:rsid w:val="00E80B80"/>
    <w:rsid w:val="00E817FE"/>
    <w:rsid w:val="00E81CA6"/>
    <w:rsid w:val="00E82164"/>
    <w:rsid w:val="00E825BE"/>
    <w:rsid w:val="00E8692F"/>
    <w:rsid w:val="00E86DC2"/>
    <w:rsid w:val="00E86DFA"/>
    <w:rsid w:val="00E8748D"/>
    <w:rsid w:val="00E87EC9"/>
    <w:rsid w:val="00E900E1"/>
    <w:rsid w:val="00E9139F"/>
    <w:rsid w:val="00E9153A"/>
    <w:rsid w:val="00E91CD3"/>
    <w:rsid w:val="00E91E8F"/>
    <w:rsid w:val="00E93BC6"/>
    <w:rsid w:val="00E94171"/>
    <w:rsid w:val="00E96436"/>
    <w:rsid w:val="00E977D2"/>
    <w:rsid w:val="00E97B92"/>
    <w:rsid w:val="00E97E07"/>
    <w:rsid w:val="00EA0553"/>
    <w:rsid w:val="00EA10A0"/>
    <w:rsid w:val="00EA20A5"/>
    <w:rsid w:val="00EA3A7F"/>
    <w:rsid w:val="00EA3ED6"/>
    <w:rsid w:val="00EA4266"/>
    <w:rsid w:val="00EA5A43"/>
    <w:rsid w:val="00EA6198"/>
    <w:rsid w:val="00EA61BE"/>
    <w:rsid w:val="00EA6C10"/>
    <w:rsid w:val="00EA6FF3"/>
    <w:rsid w:val="00EA7A26"/>
    <w:rsid w:val="00EB077C"/>
    <w:rsid w:val="00EB079D"/>
    <w:rsid w:val="00EB0DA4"/>
    <w:rsid w:val="00EB0ECB"/>
    <w:rsid w:val="00EB26B1"/>
    <w:rsid w:val="00EB4AB9"/>
    <w:rsid w:val="00EB5CD1"/>
    <w:rsid w:val="00EC26B1"/>
    <w:rsid w:val="00EC2ECC"/>
    <w:rsid w:val="00EC368E"/>
    <w:rsid w:val="00EC3913"/>
    <w:rsid w:val="00EC3A9A"/>
    <w:rsid w:val="00EC3BBA"/>
    <w:rsid w:val="00EC3CF3"/>
    <w:rsid w:val="00EC3FEA"/>
    <w:rsid w:val="00EC51F2"/>
    <w:rsid w:val="00EC5894"/>
    <w:rsid w:val="00EC59D5"/>
    <w:rsid w:val="00EC5A78"/>
    <w:rsid w:val="00EC6095"/>
    <w:rsid w:val="00EC6141"/>
    <w:rsid w:val="00EC64C3"/>
    <w:rsid w:val="00EC6D38"/>
    <w:rsid w:val="00EC706E"/>
    <w:rsid w:val="00ED0AEA"/>
    <w:rsid w:val="00ED14C9"/>
    <w:rsid w:val="00ED2633"/>
    <w:rsid w:val="00ED2B55"/>
    <w:rsid w:val="00ED338B"/>
    <w:rsid w:val="00ED3D9C"/>
    <w:rsid w:val="00ED684C"/>
    <w:rsid w:val="00EE0CB4"/>
    <w:rsid w:val="00EE3593"/>
    <w:rsid w:val="00EE442E"/>
    <w:rsid w:val="00EE4B31"/>
    <w:rsid w:val="00EE4E59"/>
    <w:rsid w:val="00EE5365"/>
    <w:rsid w:val="00EE541B"/>
    <w:rsid w:val="00EE6449"/>
    <w:rsid w:val="00EE6F2A"/>
    <w:rsid w:val="00EF026D"/>
    <w:rsid w:val="00EF1A70"/>
    <w:rsid w:val="00EF1D47"/>
    <w:rsid w:val="00EF2B20"/>
    <w:rsid w:val="00EF32AA"/>
    <w:rsid w:val="00EF39D3"/>
    <w:rsid w:val="00EF3F66"/>
    <w:rsid w:val="00EF589E"/>
    <w:rsid w:val="00EF5AD9"/>
    <w:rsid w:val="00F011D6"/>
    <w:rsid w:val="00F0127C"/>
    <w:rsid w:val="00F018BB"/>
    <w:rsid w:val="00F02409"/>
    <w:rsid w:val="00F04FD1"/>
    <w:rsid w:val="00F0573D"/>
    <w:rsid w:val="00F06E58"/>
    <w:rsid w:val="00F071A7"/>
    <w:rsid w:val="00F0721F"/>
    <w:rsid w:val="00F11247"/>
    <w:rsid w:val="00F125BE"/>
    <w:rsid w:val="00F1273B"/>
    <w:rsid w:val="00F13A8B"/>
    <w:rsid w:val="00F144EF"/>
    <w:rsid w:val="00F1763E"/>
    <w:rsid w:val="00F200E6"/>
    <w:rsid w:val="00F21F04"/>
    <w:rsid w:val="00F244F3"/>
    <w:rsid w:val="00F26753"/>
    <w:rsid w:val="00F2745C"/>
    <w:rsid w:val="00F302AD"/>
    <w:rsid w:val="00F320CD"/>
    <w:rsid w:val="00F322BC"/>
    <w:rsid w:val="00F33D88"/>
    <w:rsid w:val="00F33DDD"/>
    <w:rsid w:val="00F35C34"/>
    <w:rsid w:val="00F366BA"/>
    <w:rsid w:val="00F367AC"/>
    <w:rsid w:val="00F3682F"/>
    <w:rsid w:val="00F36DFF"/>
    <w:rsid w:val="00F423EB"/>
    <w:rsid w:val="00F4333D"/>
    <w:rsid w:val="00F474A7"/>
    <w:rsid w:val="00F52CAF"/>
    <w:rsid w:val="00F53372"/>
    <w:rsid w:val="00F53EBA"/>
    <w:rsid w:val="00F544F3"/>
    <w:rsid w:val="00F549D1"/>
    <w:rsid w:val="00F55704"/>
    <w:rsid w:val="00F56A9F"/>
    <w:rsid w:val="00F56FD2"/>
    <w:rsid w:val="00F60992"/>
    <w:rsid w:val="00F61D50"/>
    <w:rsid w:val="00F61D7E"/>
    <w:rsid w:val="00F66377"/>
    <w:rsid w:val="00F671A3"/>
    <w:rsid w:val="00F7144E"/>
    <w:rsid w:val="00F71496"/>
    <w:rsid w:val="00F72378"/>
    <w:rsid w:val="00F7336C"/>
    <w:rsid w:val="00F7345F"/>
    <w:rsid w:val="00F743FD"/>
    <w:rsid w:val="00F755C0"/>
    <w:rsid w:val="00F75E3A"/>
    <w:rsid w:val="00F76163"/>
    <w:rsid w:val="00F76289"/>
    <w:rsid w:val="00F76294"/>
    <w:rsid w:val="00F76740"/>
    <w:rsid w:val="00F76B32"/>
    <w:rsid w:val="00F7734C"/>
    <w:rsid w:val="00F7739B"/>
    <w:rsid w:val="00F824F2"/>
    <w:rsid w:val="00F83DE1"/>
    <w:rsid w:val="00F85737"/>
    <w:rsid w:val="00F85970"/>
    <w:rsid w:val="00F87AD3"/>
    <w:rsid w:val="00F9038B"/>
    <w:rsid w:val="00F91A41"/>
    <w:rsid w:val="00F91BA9"/>
    <w:rsid w:val="00F935EC"/>
    <w:rsid w:val="00F93AF6"/>
    <w:rsid w:val="00F94E6B"/>
    <w:rsid w:val="00F97200"/>
    <w:rsid w:val="00F9753A"/>
    <w:rsid w:val="00F97E73"/>
    <w:rsid w:val="00FA0291"/>
    <w:rsid w:val="00FA1293"/>
    <w:rsid w:val="00FA187C"/>
    <w:rsid w:val="00FA3CB9"/>
    <w:rsid w:val="00FA48F6"/>
    <w:rsid w:val="00FA54A9"/>
    <w:rsid w:val="00FA64C9"/>
    <w:rsid w:val="00FA6C27"/>
    <w:rsid w:val="00FA7D7A"/>
    <w:rsid w:val="00FB03EF"/>
    <w:rsid w:val="00FB0807"/>
    <w:rsid w:val="00FB112F"/>
    <w:rsid w:val="00FB14E0"/>
    <w:rsid w:val="00FB194F"/>
    <w:rsid w:val="00FB1DA9"/>
    <w:rsid w:val="00FB277C"/>
    <w:rsid w:val="00FB3FB2"/>
    <w:rsid w:val="00FB43EB"/>
    <w:rsid w:val="00FB5567"/>
    <w:rsid w:val="00FB620A"/>
    <w:rsid w:val="00FB706D"/>
    <w:rsid w:val="00FC0886"/>
    <w:rsid w:val="00FC0D81"/>
    <w:rsid w:val="00FC1DC4"/>
    <w:rsid w:val="00FC29E8"/>
    <w:rsid w:val="00FC3861"/>
    <w:rsid w:val="00FC38F6"/>
    <w:rsid w:val="00FC3C37"/>
    <w:rsid w:val="00FC3EF6"/>
    <w:rsid w:val="00FC4199"/>
    <w:rsid w:val="00FC4CCB"/>
    <w:rsid w:val="00FC6B4B"/>
    <w:rsid w:val="00FC717F"/>
    <w:rsid w:val="00FC73BC"/>
    <w:rsid w:val="00FC7659"/>
    <w:rsid w:val="00FC77DE"/>
    <w:rsid w:val="00FD007E"/>
    <w:rsid w:val="00FD01F0"/>
    <w:rsid w:val="00FD03EE"/>
    <w:rsid w:val="00FD190F"/>
    <w:rsid w:val="00FD2639"/>
    <w:rsid w:val="00FD273D"/>
    <w:rsid w:val="00FD3F0E"/>
    <w:rsid w:val="00FD4342"/>
    <w:rsid w:val="00FD510B"/>
    <w:rsid w:val="00FD524C"/>
    <w:rsid w:val="00FD58CE"/>
    <w:rsid w:val="00FD6C17"/>
    <w:rsid w:val="00FD7024"/>
    <w:rsid w:val="00FE0059"/>
    <w:rsid w:val="00FE0393"/>
    <w:rsid w:val="00FE07D1"/>
    <w:rsid w:val="00FE0A3E"/>
    <w:rsid w:val="00FE2DCA"/>
    <w:rsid w:val="00FE3069"/>
    <w:rsid w:val="00FE4279"/>
    <w:rsid w:val="00FE569C"/>
    <w:rsid w:val="00FE6863"/>
    <w:rsid w:val="00FE719C"/>
    <w:rsid w:val="00FF032D"/>
    <w:rsid w:val="00FF2328"/>
    <w:rsid w:val="00FF2BCF"/>
    <w:rsid w:val="00FF47AA"/>
    <w:rsid w:val="00FF5659"/>
    <w:rsid w:val="00FF6723"/>
    <w:rsid w:val="00FF673D"/>
    <w:rsid w:val="00FF68B4"/>
    <w:rsid w:val="00FF71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4A97"/>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A71C88"/>
    <w:pPr>
      <w:numPr>
        <w:ilvl w:val="1"/>
      </w:numPr>
      <w:pBdr>
        <w:top w:val="none" w:sz="0" w:space="0" w:color="auto"/>
      </w:pBdr>
      <w:spacing w:before="180"/>
      <w:outlineLvl w:val="1"/>
    </w:pPr>
    <w:rPr>
      <w:rFonts w:asciiTheme="minorHAnsi" w:hAnsiTheme="minorHAnsi" w:cstheme="minorHAnsi"/>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D2788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6">
    <w:name w:val="heading 6"/>
    <w:basedOn w:val="Normal"/>
    <w:next w:val="Normal"/>
    <w:link w:val="Heading6Char"/>
    <w:uiPriority w:val="9"/>
    <w:unhideWhenUsed/>
    <w:qFormat/>
    <w:rsid w:val="00520B04"/>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A71C88"/>
    <w:rPr>
      <w:rFonts w:eastAsia="Times New Roman" w:cstheme="minorHAnsi"/>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D27885"/>
    <w:rPr>
      <w:rFonts w:eastAsia="Times New Roman" w:cstheme="minorHAnsi"/>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03C62"/>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303C62"/>
    <w:rPr>
      <w:rFonts w:ascii="Times New Roman" w:eastAsia="SimSun" w:hAnsi="Times New Roman" w:cs="Times New Roman"/>
      <w:b/>
      <w:bCs/>
      <w:sz w:val="20"/>
      <w:szCs w:val="20"/>
      <w:lang w:val="en-GB"/>
    </w:rPr>
  </w:style>
  <w:style w:type="paragraph" w:styleId="Revision">
    <w:name w:val="Revision"/>
    <w:hidden/>
    <w:uiPriority w:val="99"/>
    <w:semiHidden/>
    <w:rsid w:val="00EA0553"/>
    <w:pPr>
      <w:spacing w:after="0" w:line="240" w:lineRule="auto"/>
    </w:pPr>
  </w:style>
  <w:style w:type="character" w:styleId="PlaceholderText">
    <w:name w:val="Placeholder Text"/>
    <w:basedOn w:val="DefaultParagraphFont"/>
    <w:uiPriority w:val="99"/>
    <w:semiHidden/>
    <w:rsid w:val="00906201"/>
    <w:rPr>
      <w:color w:val="666666"/>
    </w:rPr>
  </w:style>
  <w:style w:type="character" w:customStyle="1" w:styleId="Heading6Char">
    <w:name w:val="Heading 6 Char"/>
    <w:basedOn w:val="DefaultParagraphFont"/>
    <w:link w:val="Heading6"/>
    <w:uiPriority w:val="9"/>
    <w:rsid w:val="00520B04"/>
    <w:rPr>
      <w:rFonts w:asciiTheme="majorHAnsi" w:eastAsiaTheme="majorEastAsia" w:hAnsiTheme="majorHAnsi" w:cstheme="majorBidi"/>
      <w:color w:val="1F3763" w:themeColor="accent1" w:themeShade="7F"/>
    </w:rPr>
  </w:style>
  <w:style w:type="character" w:customStyle="1" w:styleId="font01">
    <w:name w:val="font01"/>
    <w:basedOn w:val="DefaultParagraphFont"/>
    <w:rsid w:val="00C61981"/>
    <w:rPr>
      <w:rFonts w:ascii="Aptos Narrow" w:hAnsi="Aptos Narrow"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89550159">
      <w:bodyDiv w:val="1"/>
      <w:marLeft w:val="0"/>
      <w:marRight w:val="0"/>
      <w:marTop w:val="0"/>
      <w:marBottom w:val="0"/>
      <w:divBdr>
        <w:top w:val="none" w:sz="0" w:space="0" w:color="auto"/>
        <w:left w:val="none" w:sz="0" w:space="0" w:color="auto"/>
        <w:bottom w:val="none" w:sz="0" w:space="0" w:color="auto"/>
        <w:right w:val="none" w:sz="0" w:space="0" w:color="auto"/>
      </w:divBdr>
      <w:divsChild>
        <w:div w:id="278798410">
          <w:marLeft w:val="274"/>
          <w:marRight w:val="0"/>
          <w:marTop w:val="240"/>
          <w:marBottom w:val="0"/>
          <w:divBdr>
            <w:top w:val="none" w:sz="0" w:space="0" w:color="auto"/>
            <w:left w:val="none" w:sz="0" w:space="0" w:color="auto"/>
            <w:bottom w:val="none" w:sz="0" w:space="0" w:color="auto"/>
            <w:right w:val="none" w:sz="0" w:space="0" w:color="auto"/>
          </w:divBdr>
        </w:div>
        <w:div w:id="1758554760">
          <w:marLeft w:val="274"/>
          <w:marRight w:val="0"/>
          <w:marTop w:val="240"/>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66868772">
      <w:bodyDiv w:val="1"/>
      <w:marLeft w:val="0"/>
      <w:marRight w:val="0"/>
      <w:marTop w:val="0"/>
      <w:marBottom w:val="0"/>
      <w:divBdr>
        <w:top w:val="none" w:sz="0" w:space="0" w:color="auto"/>
        <w:left w:val="none" w:sz="0" w:space="0" w:color="auto"/>
        <w:bottom w:val="none" w:sz="0" w:space="0" w:color="auto"/>
        <w:right w:val="none" w:sz="0" w:space="0" w:color="auto"/>
      </w:divBdr>
    </w:div>
    <w:div w:id="298876862">
      <w:bodyDiv w:val="1"/>
      <w:marLeft w:val="0"/>
      <w:marRight w:val="0"/>
      <w:marTop w:val="0"/>
      <w:marBottom w:val="0"/>
      <w:divBdr>
        <w:top w:val="none" w:sz="0" w:space="0" w:color="auto"/>
        <w:left w:val="none" w:sz="0" w:space="0" w:color="auto"/>
        <w:bottom w:val="none" w:sz="0" w:space="0" w:color="auto"/>
        <w:right w:val="none" w:sz="0" w:space="0" w:color="auto"/>
      </w:divBdr>
    </w:div>
    <w:div w:id="318730819">
      <w:bodyDiv w:val="1"/>
      <w:marLeft w:val="0"/>
      <w:marRight w:val="0"/>
      <w:marTop w:val="0"/>
      <w:marBottom w:val="0"/>
      <w:divBdr>
        <w:top w:val="none" w:sz="0" w:space="0" w:color="auto"/>
        <w:left w:val="none" w:sz="0" w:space="0" w:color="auto"/>
        <w:bottom w:val="none" w:sz="0" w:space="0" w:color="auto"/>
        <w:right w:val="none" w:sz="0" w:space="0" w:color="auto"/>
      </w:divBdr>
      <w:divsChild>
        <w:div w:id="1182158363">
          <w:marLeft w:val="0"/>
          <w:marRight w:val="0"/>
          <w:marTop w:val="0"/>
          <w:marBottom w:val="0"/>
          <w:divBdr>
            <w:top w:val="none" w:sz="0" w:space="0" w:color="auto"/>
            <w:left w:val="none" w:sz="0" w:space="0" w:color="auto"/>
            <w:bottom w:val="none" w:sz="0" w:space="0" w:color="auto"/>
            <w:right w:val="none" w:sz="0" w:space="0" w:color="auto"/>
          </w:divBdr>
          <w:divsChild>
            <w:div w:id="206366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79936163">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5870954">
      <w:bodyDiv w:val="1"/>
      <w:marLeft w:val="0"/>
      <w:marRight w:val="0"/>
      <w:marTop w:val="0"/>
      <w:marBottom w:val="0"/>
      <w:divBdr>
        <w:top w:val="none" w:sz="0" w:space="0" w:color="auto"/>
        <w:left w:val="none" w:sz="0" w:space="0" w:color="auto"/>
        <w:bottom w:val="none" w:sz="0" w:space="0" w:color="auto"/>
        <w:right w:val="none" w:sz="0" w:space="0" w:color="auto"/>
      </w:divBdr>
    </w:div>
    <w:div w:id="5522765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0718727">
      <w:bodyDiv w:val="1"/>
      <w:marLeft w:val="0"/>
      <w:marRight w:val="0"/>
      <w:marTop w:val="0"/>
      <w:marBottom w:val="0"/>
      <w:divBdr>
        <w:top w:val="none" w:sz="0" w:space="0" w:color="auto"/>
        <w:left w:val="none" w:sz="0" w:space="0" w:color="auto"/>
        <w:bottom w:val="none" w:sz="0" w:space="0" w:color="auto"/>
        <w:right w:val="none" w:sz="0" w:space="0" w:color="auto"/>
      </w:divBdr>
    </w:div>
    <w:div w:id="669868925">
      <w:bodyDiv w:val="1"/>
      <w:marLeft w:val="0"/>
      <w:marRight w:val="0"/>
      <w:marTop w:val="0"/>
      <w:marBottom w:val="0"/>
      <w:divBdr>
        <w:top w:val="none" w:sz="0" w:space="0" w:color="auto"/>
        <w:left w:val="none" w:sz="0" w:space="0" w:color="auto"/>
        <w:bottom w:val="none" w:sz="0" w:space="0" w:color="auto"/>
        <w:right w:val="none" w:sz="0" w:space="0" w:color="auto"/>
      </w:divBdr>
      <w:divsChild>
        <w:div w:id="175308828">
          <w:marLeft w:val="0"/>
          <w:marRight w:val="0"/>
          <w:marTop w:val="0"/>
          <w:marBottom w:val="0"/>
          <w:divBdr>
            <w:top w:val="none" w:sz="0" w:space="0" w:color="auto"/>
            <w:left w:val="none" w:sz="0" w:space="0" w:color="auto"/>
            <w:bottom w:val="none" w:sz="0" w:space="0" w:color="auto"/>
            <w:right w:val="none" w:sz="0" w:space="0" w:color="auto"/>
          </w:divBdr>
        </w:div>
      </w:divsChild>
    </w:div>
    <w:div w:id="775904008">
      <w:bodyDiv w:val="1"/>
      <w:marLeft w:val="0"/>
      <w:marRight w:val="0"/>
      <w:marTop w:val="0"/>
      <w:marBottom w:val="0"/>
      <w:divBdr>
        <w:top w:val="none" w:sz="0" w:space="0" w:color="auto"/>
        <w:left w:val="none" w:sz="0" w:space="0" w:color="auto"/>
        <w:bottom w:val="none" w:sz="0" w:space="0" w:color="auto"/>
        <w:right w:val="none" w:sz="0" w:space="0" w:color="auto"/>
      </w:divBdr>
    </w:div>
    <w:div w:id="804003866">
      <w:bodyDiv w:val="1"/>
      <w:marLeft w:val="0"/>
      <w:marRight w:val="0"/>
      <w:marTop w:val="0"/>
      <w:marBottom w:val="0"/>
      <w:divBdr>
        <w:top w:val="none" w:sz="0" w:space="0" w:color="auto"/>
        <w:left w:val="none" w:sz="0" w:space="0" w:color="auto"/>
        <w:bottom w:val="none" w:sz="0" w:space="0" w:color="auto"/>
        <w:right w:val="none" w:sz="0" w:space="0" w:color="auto"/>
      </w:divBdr>
      <w:divsChild>
        <w:div w:id="294066369">
          <w:marLeft w:val="0"/>
          <w:marRight w:val="0"/>
          <w:marTop w:val="0"/>
          <w:marBottom w:val="0"/>
          <w:divBdr>
            <w:top w:val="none" w:sz="0" w:space="0" w:color="auto"/>
            <w:left w:val="none" w:sz="0" w:space="0" w:color="auto"/>
            <w:bottom w:val="none" w:sz="0" w:space="0" w:color="auto"/>
            <w:right w:val="none" w:sz="0" w:space="0" w:color="auto"/>
          </w:divBdr>
          <w:divsChild>
            <w:div w:id="54502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480657">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34999953">
      <w:bodyDiv w:val="1"/>
      <w:marLeft w:val="0"/>
      <w:marRight w:val="0"/>
      <w:marTop w:val="0"/>
      <w:marBottom w:val="0"/>
      <w:divBdr>
        <w:top w:val="none" w:sz="0" w:space="0" w:color="auto"/>
        <w:left w:val="none" w:sz="0" w:space="0" w:color="auto"/>
        <w:bottom w:val="none" w:sz="0" w:space="0" w:color="auto"/>
        <w:right w:val="none" w:sz="0" w:space="0" w:color="auto"/>
      </w:divBdr>
      <w:divsChild>
        <w:div w:id="62263465">
          <w:marLeft w:val="274"/>
          <w:marRight w:val="0"/>
          <w:marTop w:val="24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60361634">
      <w:bodyDiv w:val="1"/>
      <w:marLeft w:val="0"/>
      <w:marRight w:val="0"/>
      <w:marTop w:val="0"/>
      <w:marBottom w:val="0"/>
      <w:divBdr>
        <w:top w:val="none" w:sz="0" w:space="0" w:color="auto"/>
        <w:left w:val="none" w:sz="0" w:space="0" w:color="auto"/>
        <w:bottom w:val="none" w:sz="0" w:space="0" w:color="auto"/>
        <w:right w:val="none" w:sz="0" w:space="0" w:color="auto"/>
      </w:divBdr>
    </w:div>
    <w:div w:id="875238032">
      <w:bodyDiv w:val="1"/>
      <w:marLeft w:val="0"/>
      <w:marRight w:val="0"/>
      <w:marTop w:val="0"/>
      <w:marBottom w:val="0"/>
      <w:divBdr>
        <w:top w:val="none" w:sz="0" w:space="0" w:color="auto"/>
        <w:left w:val="none" w:sz="0" w:space="0" w:color="auto"/>
        <w:bottom w:val="none" w:sz="0" w:space="0" w:color="auto"/>
        <w:right w:val="none" w:sz="0" w:space="0" w:color="auto"/>
      </w:divBdr>
    </w:div>
    <w:div w:id="935746930">
      <w:bodyDiv w:val="1"/>
      <w:marLeft w:val="0"/>
      <w:marRight w:val="0"/>
      <w:marTop w:val="0"/>
      <w:marBottom w:val="0"/>
      <w:divBdr>
        <w:top w:val="none" w:sz="0" w:space="0" w:color="auto"/>
        <w:left w:val="none" w:sz="0" w:space="0" w:color="auto"/>
        <w:bottom w:val="none" w:sz="0" w:space="0" w:color="auto"/>
        <w:right w:val="none" w:sz="0" w:space="0" w:color="auto"/>
      </w:divBdr>
    </w:div>
    <w:div w:id="960847413">
      <w:bodyDiv w:val="1"/>
      <w:marLeft w:val="0"/>
      <w:marRight w:val="0"/>
      <w:marTop w:val="0"/>
      <w:marBottom w:val="0"/>
      <w:divBdr>
        <w:top w:val="none" w:sz="0" w:space="0" w:color="auto"/>
        <w:left w:val="none" w:sz="0" w:space="0" w:color="auto"/>
        <w:bottom w:val="none" w:sz="0" w:space="0" w:color="auto"/>
        <w:right w:val="none" w:sz="0" w:space="0" w:color="auto"/>
      </w:divBdr>
      <w:divsChild>
        <w:div w:id="958337417">
          <w:marLeft w:val="274"/>
          <w:marRight w:val="0"/>
          <w:marTop w:val="24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93206812">
      <w:bodyDiv w:val="1"/>
      <w:marLeft w:val="0"/>
      <w:marRight w:val="0"/>
      <w:marTop w:val="0"/>
      <w:marBottom w:val="0"/>
      <w:divBdr>
        <w:top w:val="none" w:sz="0" w:space="0" w:color="auto"/>
        <w:left w:val="none" w:sz="0" w:space="0" w:color="auto"/>
        <w:bottom w:val="none" w:sz="0" w:space="0" w:color="auto"/>
        <w:right w:val="none" w:sz="0" w:space="0" w:color="auto"/>
      </w:divBdr>
    </w:div>
    <w:div w:id="1151024377">
      <w:bodyDiv w:val="1"/>
      <w:marLeft w:val="0"/>
      <w:marRight w:val="0"/>
      <w:marTop w:val="0"/>
      <w:marBottom w:val="0"/>
      <w:divBdr>
        <w:top w:val="none" w:sz="0" w:space="0" w:color="auto"/>
        <w:left w:val="none" w:sz="0" w:space="0" w:color="auto"/>
        <w:bottom w:val="none" w:sz="0" w:space="0" w:color="auto"/>
        <w:right w:val="none" w:sz="0" w:space="0" w:color="auto"/>
      </w:divBdr>
    </w:div>
    <w:div w:id="1154685448">
      <w:bodyDiv w:val="1"/>
      <w:marLeft w:val="0"/>
      <w:marRight w:val="0"/>
      <w:marTop w:val="0"/>
      <w:marBottom w:val="0"/>
      <w:divBdr>
        <w:top w:val="none" w:sz="0" w:space="0" w:color="auto"/>
        <w:left w:val="none" w:sz="0" w:space="0" w:color="auto"/>
        <w:bottom w:val="none" w:sz="0" w:space="0" w:color="auto"/>
        <w:right w:val="none" w:sz="0" w:space="0" w:color="auto"/>
      </w:divBdr>
    </w:div>
    <w:div w:id="1197815046">
      <w:bodyDiv w:val="1"/>
      <w:marLeft w:val="0"/>
      <w:marRight w:val="0"/>
      <w:marTop w:val="0"/>
      <w:marBottom w:val="0"/>
      <w:divBdr>
        <w:top w:val="none" w:sz="0" w:space="0" w:color="auto"/>
        <w:left w:val="none" w:sz="0" w:space="0" w:color="auto"/>
        <w:bottom w:val="none" w:sz="0" w:space="0" w:color="auto"/>
        <w:right w:val="none" w:sz="0" w:space="0" w:color="auto"/>
      </w:divBdr>
    </w:div>
    <w:div w:id="1233467147">
      <w:bodyDiv w:val="1"/>
      <w:marLeft w:val="0"/>
      <w:marRight w:val="0"/>
      <w:marTop w:val="0"/>
      <w:marBottom w:val="0"/>
      <w:divBdr>
        <w:top w:val="none" w:sz="0" w:space="0" w:color="auto"/>
        <w:left w:val="none" w:sz="0" w:space="0" w:color="auto"/>
        <w:bottom w:val="none" w:sz="0" w:space="0" w:color="auto"/>
        <w:right w:val="none" w:sz="0" w:space="0" w:color="auto"/>
      </w:divBdr>
    </w:div>
    <w:div w:id="1239553787">
      <w:bodyDiv w:val="1"/>
      <w:marLeft w:val="0"/>
      <w:marRight w:val="0"/>
      <w:marTop w:val="0"/>
      <w:marBottom w:val="0"/>
      <w:divBdr>
        <w:top w:val="none" w:sz="0" w:space="0" w:color="auto"/>
        <w:left w:val="none" w:sz="0" w:space="0" w:color="auto"/>
        <w:bottom w:val="none" w:sz="0" w:space="0" w:color="auto"/>
        <w:right w:val="none" w:sz="0" w:space="0" w:color="auto"/>
      </w:divBdr>
    </w:div>
    <w:div w:id="1309625266">
      <w:bodyDiv w:val="1"/>
      <w:marLeft w:val="0"/>
      <w:marRight w:val="0"/>
      <w:marTop w:val="0"/>
      <w:marBottom w:val="0"/>
      <w:divBdr>
        <w:top w:val="none" w:sz="0" w:space="0" w:color="auto"/>
        <w:left w:val="none" w:sz="0" w:space="0" w:color="auto"/>
        <w:bottom w:val="none" w:sz="0" w:space="0" w:color="auto"/>
        <w:right w:val="none" w:sz="0" w:space="0" w:color="auto"/>
      </w:divBdr>
    </w:div>
    <w:div w:id="1372874980">
      <w:bodyDiv w:val="1"/>
      <w:marLeft w:val="0"/>
      <w:marRight w:val="0"/>
      <w:marTop w:val="0"/>
      <w:marBottom w:val="0"/>
      <w:divBdr>
        <w:top w:val="none" w:sz="0" w:space="0" w:color="auto"/>
        <w:left w:val="none" w:sz="0" w:space="0" w:color="auto"/>
        <w:bottom w:val="none" w:sz="0" w:space="0" w:color="auto"/>
        <w:right w:val="none" w:sz="0" w:space="0" w:color="auto"/>
      </w:divBdr>
    </w:div>
    <w:div w:id="138374591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24904091">
      <w:bodyDiv w:val="1"/>
      <w:marLeft w:val="0"/>
      <w:marRight w:val="0"/>
      <w:marTop w:val="0"/>
      <w:marBottom w:val="0"/>
      <w:divBdr>
        <w:top w:val="none" w:sz="0" w:space="0" w:color="auto"/>
        <w:left w:val="none" w:sz="0" w:space="0" w:color="auto"/>
        <w:bottom w:val="none" w:sz="0" w:space="0" w:color="auto"/>
        <w:right w:val="none" w:sz="0" w:space="0" w:color="auto"/>
      </w:divBdr>
    </w:div>
    <w:div w:id="1544753758">
      <w:bodyDiv w:val="1"/>
      <w:marLeft w:val="0"/>
      <w:marRight w:val="0"/>
      <w:marTop w:val="0"/>
      <w:marBottom w:val="0"/>
      <w:divBdr>
        <w:top w:val="none" w:sz="0" w:space="0" w:color="auto"/>
        <w:left w:val="none" w:sz="0" w:space="0" w:color="auto"/>
        <w:bottom w:val="none" w:sz="0" w:space="0" w:color="auto"/>
        <w:right w:val="none" w:sz="0" w:space="0" w:color="auto"/>
      </w:divBdr>
      <w:divsChild>
        <w:div w:id="1740446139">
          <w:marLeft w:val="274"/>
          <w:marRight w:val="0"/>
          <w:marTop w:val="240"/>
          <w:marBottom w:val="0"/>
          <w:divBdr>
            <w:top w:val="none" w:sz="0" w:space="0" w:color="auto"/>
            <w:left w:val="none" w:sz="0" w:space="0" w:color="auto"/>
            <w:bottom w:val="none" w:sz="0" w:space="0" w:color="auto"/>
            <w:right w:val="none" w:sz="0" w:space="0" w:color="auto"/>
          </w:divBdr>
        </w:div>
        <w:div w:id="345327850">
          <w:marLeft w:val="274"/>
          <w:marRight w:val="0"/>
          <w:marTop w:val="240"/>
          <w:marBottom w:val="0"/>
          <w:divBdr>
            <w:top w:val="none" w:sz="0" w:space="0" w:color="auto"/>
            <w:left w:val="none" w:sz="0" w:space="0" w:color="auto"/>
            <w:bottom w:val="none" w:sz="0" w:space="0" w:color="auto"/>
            <w:right w:val="none" w:sz="0" w:space="0" w:color="auto"/>
          </w:divBdr>
        </w:div>
      </w:divsChild>
    </w:div>
    <w:div w:id="1575819250">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29774986">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06130047">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775779963">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1988508073">
      <w:bodyDiv w:val="1"/>
      <w:marLeft w:val="0"/>
      <w:marRight w:val="0"/>
      <w:marTop w:val="0"/>
      <w:marBottom w:val="0"/>
      <w:divBdr>
        <w:top w:val="none" w:sz="0" w:space="0" w:color="auto"/>
        <w:left w:val="none" w:sz="0" w:space="0" w:color="auto"/>
        <w:bottom w:val="none" w:sz="0" w:space="0" w:color="auto"/>
        <w:right w:val="none" w:sz="0" w:space="0" w:color="auto"/>
      </w:divBdr>
    </w:div>
    <w:div w:id="2056201213">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beb5c13ed8a39f47a3c8a4f593e0f1bc">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482251a1f18dd2941db3dbd732f6c5d4"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263F09-E857-4427-B496-748933BCF416}">
  <ds:schemaRefs>
    <ds:schemaRef ds:uri="http://schemas.microsoft.com/sharepoint/v3/contenttype/forms"/>
  </ds:schemaRefs>
</ds:datastoreItem>
</file>

<file path=customXml/itemProps2.xml><?xml version="1.0" encoding="utf-8"?>
<ds:datastoreItem xmlns:ds="http://schemas.openxmlformats.org/officeDocument/2006/customXml" ds:itemID="{E0B1B3C9-610A-4645-A661-6F76922C1710}">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099F8F67-EE47-478C-B0C5-21EBD6C7ABDF}">
  <ds:schemaRefs>
    <ds:schemaRef ds:uri="http://schemas.openxmlformats.org/officeDocument/2006/bibliography"/>
  </ds:schemaRefs>
</ds:datastoreItem>
</file>

<file path=customXml/itemProps4.xml><?xml version="1.0" encoding="utf-8"?>
<ds:datastoreItem xmlns:ds="http://schemas.openxmlformats.org/officeDocument/2006/customXml" ds:itemID="{9748CA5D-17F5-4F3F-B89C-59CD77715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96</TotalTime>
  <Pages>3</Pages>
  <Words>1030</Words>
  <Characters>5872</Characters>
  <Application>Microsoft Office Word</Application>
  <DocSecurity>0</DocSecurity>
  <Lines>48</Lines>
  <Paragraphs>13</Paragraphs>
  <ScaleCrop>false</ScaleCrop>
  <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Qualcomm - Pierpaolo</cp:lastModifiedBy>
  <cp:revision>83</cp:revision>
  <dcterms:created xsi:type="dcterms:W3CDTF">2025-03-28T16:32:00Z</dcterms:created>
  <dcterms:modified xsi:type="dcterms:W3CDTF">2025-05-09T10:06:00Z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ies>
</file>